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13DD2F02"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C38DF24" w14:textId="77777777" w:rsidR="00647C8D" w:rsidRPr="00DE1DE9" w:rsidRDefault="00231477" w:rsidP="00A11FFD">
            <w:pPr>
              <w:pStyle w:val="Sidhuvud"/>
              <w:spacing w:after="100"/>
              <w:rPr>
                <w:b w:val="0"/>
                <w:bCs/>
              </w:rPr>
            </w:pPr>
            <w:r>
              <w:rPr>
                <w:b w:val="0"/>
                <w:bCs/>
              </w:rPr>
              <w:t>Kretslopp och vatten</w:t>
            </w:r>
          </w:p>
        </w:tc>
        <w:tc>
          <w:tcPr>
            <w:tcW w:w="3969" w:type="dxa"/>
            <w:tcBorders>
              <w:bottom w:val="nil"/>
            </w:tcBorders>
            <w:shd w:val="clear" w:color="auto" w:fill="auto"/>
          </w:tcPr>
          <w:p w14:paraId="2CD57458" w14:textId="77777777" w:rsidR="00647C8D" w:rsidRDefault="00647C8D" w:rsidP="00A11FFD">
            <w:pPr>
              <w:pStyle w:val="Sidhuvud"/>
              <w:spacing w:after="100"/>
              <w:jc w:val="right"/>
            </w:pPr>
            <w:r>
              <w:rPr>
                <w:noProof/>
                <w:lang w:eastAsia="sv-SE"/>
              </w:rPr>
              <w:drawing>
                <wp:inline distT="0" distB="0" distL="0" distR="0" wp14:anchorId="07E30937" wp14:editId="2BE5364F">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2FAADBE4" w14:textId="77777777" w:rsidTr="00A11FFD">
        <w:tc>
          <w:tcPr>
            <w:tcW w:w="5103" w:type="dxa"/>
            <w:tcBorders>
              <w:top w:val="nil"/>
              <w:bottom w:val="single" w:sz="4" w:space="0" w:color="auto"/>
            </w:tcBorders>
            <w:shd w:val="clear" w:color="auto" w:fill="auto"/>
          </w:tcPr>
          <w:p w14:paraId="27612DCE" w14:textId="77777777" w:rsidR="00647C8D" w:rsidRDefault="00647C8D" w:rsidP="00A11FFD">
            <w:pPr>
              <w:pStyle w:val="Sidhuvud"/>
              <w:spacing w:after="100"/>
            </w:pPr>
          </w:p>
        </w:tc>
        <w:tc>
          <w:tcPr>
            <w:tcW w:w="3969" w:type="dxa"/>
            <w:tcBorders>
              <w:bottom w:val="single" w:sz="4" w:space="0" w:color="auto"/>
            </w:tcBorders>
            <w:shd w:val="clear" w:color="auto" w:fill="auto"/>
          </w:tcPr>
          <w:p w14:paraId="5626F5A7" w14:textId="77777777" w:rsidR="00647C8D" w:rsidRDefault="00647C8D" w:rsidP="00A11FFD">
            <w:pPr>
              <w:pStyle w:val="Sidhuvud"/>
              <w:spacing w:after="100"/>
              <w:jc w:val="right"/>
            </w:pPr>
          </w:p>
        </w:tc>
      </w:tr>
    </w:tbl>
    <w:p w14:paraId="48C27399"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647C8D" w:rsidRPr="00757B3A" w14:paraId="7B8DF310" w14:textId="77777777" w:rsidTr="00A11FFD">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66D99024" w14:textId="77777777" w:rsidR="00647C8D" w:rsidRPr="000707CC" w:rsidRDefault="00647C8D" w:rsidP="00A11FFD">
            <w:pPr>
              <w:pStyle w:val="Dokumentinfo"/>
            </w:pPr>
            <w:bookmarkStart w:id="0" w:name="_Toc478651876"/>
            <w:r w:rsidRPr="000707CC">
              <w:t>Tjänsteutlåtande</w:t>
            </w:r>
          </w:p>
          <w:p w14:paraId="437BB3EF" w14:textId="0C16AB6A" w:rsidR="00647C8D" w:rsidRPr="000707CC" w:rsidRDefault="00647C8D" w:rsidP="00A11FFD">
            <w:pPr>
              <w:pStyle w:val="Dokumentinfo"/>
              <w:rPr>
                <w:b w:val="0"/>
              </w:rPr>
            </w:pPr>
            <w:r w:rsidRPr="000707CC">
              <w:rPr>
                <w:b w:val="0"/>
              </w:rPr>
              <w:t xml:space="preserve">Utfärdat </w:t>
            </w:r>
            <w:r w:rsidR="00E42537">
              <w:rPr>
                <w:b w:val="0"/>
              </w:rPr>
              <w:t>2023-0</w:t>
            </w:r>
            <w:r w:rsidR="004727D0">
              <w:rPr>
                <w:b w:val="0"/>
              </w:rPr>
              <w:t>8-08</w:t>
            </w:r>
          </w:p>
          <w:p w14:paraId="7BB29F27" w14:textId="0CC88DE8" w:rsidR="00647C8D" w:rsidRPr="000707CC" w:rsidRDefault="00647C8D" w:rsidP="00A11FFD">
            <w:pPr>
              <w:pStyle w:val="Dokumentinfo"/>
              <w:rPr>
                <w:b w:val="0"/>
              </w:rPr>
            </w:pPr>
            <w:r w:rsidRPr="000707CC">
              <w:rPr>
                <w:b w:val="0"/>
              </w:rPr>
              <w:t xml:space="preserve">Diarienummer </w:t>
            </w:r>
            <w:r w:rsidR="00E42537">
              <w:rPr>
                <w:b w:val="0"/>
              </w:rPr>
              <w:t>0442/23</w:t>
            </w:r>
          </w:p>
          <w:p w14:paraId="0E909860" w14:textId="77777777" w:rsidR="00647C8D" w:rsidRPr="000707CC" w:rsidRDefault="00647C8D" w:rsidP="00A11FFD">
            <w:pPr>
              <w:pStyle w:val="Dokumentinfo"/>
              <w:rPr>
                <w:b w:val="0"/>
              </w:rPr>
            </w:pPr>
          </w:p>
        </w:tc>
        <w:tc>
          <w:tcPr>
            <w:tcW w:w="5386" w:type="dxa"/>
            <w:shd w:val="clear" w:color="auto" w:fill="auto"/>
          </w:tcPr>
          <w:p w14:paraId="5C32626E" w14:textId="44F5301F" w:rsidR="00647C8D" w:rsidRPr="000707CC" w:rsidRDefault="007F76F5" w:rsidP="00A11FFD">
            <w:pPr>
              <w:pStyle w:val="Dokumentinfo"/>
              <w:rPr>
                <w:b w:val="0"/>
              </w:rPr>
            </w:pPr>
            <w:r>
              <w:rPr>
                <w:b w:val="0"/>
              </w:rPr>
              <w:t>Strategisk samordning</w:t>
            </w:r>
          </w:p>
          <w:p w14:paraId="13F701B6" w14:textId="5314FA7C" w:rsidR="00647C8D" w:rsidRPr="000707CC" w:rsidRDefault="00E42537" w:rsidP="00A11FFD">
            <w:pPr>
              <w:pStyle w:val="Dokumentinfo"/>
              <w:rPr>
                <w:b w:val="0"/>
              </w:rPr>
            </w:pPr>
            <w:r>
              <w:rPr>
                <w:b w:val="0"/>
              </w:rPr>
              <w:t>Ann-Louise Eliasson, Emma Hansryd</w:t>
            </w:r>
          </w:p>
          <w:p w14:paraId="06095E3D" w14:textId="0310BF9B" w:rsidR="00647C8D" w:rsidRPr="007F76F5" w:rsidRDefault="00647C8D" w:rsidP="00A11FFD">
            <w:pPr>
              <w:pStyle w:val="Dokumentinfo"/>
              <w:rPr>
                <w:b w:val="0"/>
                <w:lang w:val="de-DE"/>
              </w:rPr>
            </w:pPr>
            <w:r w:rsidRPr="007F76F5">
              <w:rPr>
                <w:b w:val="0"/>
                <w:lang w:val="de-DE"/>
              </w:rPr>
              <w:t>Telefon:</w:t>
            </w:r>
            <w:r w:rsidR="001A061E" w:rsidRPr="007F76F5">
              <w:rPr>
                <w:b w:val="0"/>
                <w:lang w:val="de-DE"/>
              </w:rPr>
              <w:t xml:space="preserve"> 031-368 </w:t>
            </w:r>
            <w:r w:rsidR="007F76F5">
              <w:rPr>
                <w:b w:val="0"/>
                <w:lang w:val="de-DE"/>
              </w:rPr>
              <w:t>27 75</w:t>
            </w:r>
          </w:p>
          <w:p w14:paraId="1F54BAD4" w14:textId="77777777" w:rsidR="007F76F5" w:rsidRDefault="00647C8D" w:rsidP="00A11FFD">
            <w:pPr>
              <w:pStyle w:val="Dokumentinfo"/>
              <w:rPr>
                <w:lang w:val="de-DE"/>
              </w:rPr>
            </w:pPr>
            <w:r w:rsidRPr="001A061E">
              <w:rPr>
                <w:b w:val="0"/>
                <w:lang w:val="de-DE"/>
              </w:rPr>
              <w:t xml:space="preserve">E-post: </w:t>
            </w:r>
          </w:p>
          <w:p w14:paraId="307109B3" w14:textId="2C60F99D" w:rsidR="00647C8D" w:rsidRPr="001A061E" w:rsidRDefault="007F76F5" w:rsidP="00A11FFD">
            <w:pPr>
              <w:pStyle w:val="Dokumentinfo"/>
              <w:rPr>
                <w:b w:val="0"/>
                <w:lang w:val="de-DE"/>
              </w:rPr>
            </w:pPr>
            <w:r>
              <w:rPr>
                <w:b w:val="0"/>
                <w:lang w:val="de-DE"/>
              </w:rPr>
              <w:t>ann-louise.eliasson</w:t>
            </w:r>
            <w:r w:rsidR="00647C8D" w:rsidRPr="001A061E">
              <w:rPr>
                <w:b w:val="0"/>
                <w:lang w:val="de-DE"/>
              </w:rPr>
              <w:t>@</w:t>
            </w:r>
            <w:r w:rsidR="00231477" w:rsidRPr="001A061E">
              <w:rPr>
                <w:b w:val="0"/>
                <w:lang w:val="de-DE"/>
              </w:rPr>
              <w:t>kretsloppochvatten</w:t>
            </w:r>
            <w:r w:rsidR="00647C8D" w:rsidRPr="001A061E">
              <w:rPr>
                <w:b w:val="0"/>
                <w:lang w:val="de-DE"/>
              </w:rPr>
              <w:t>.goteborg.se</w:t>
            </w:r>
          </w:p>
        </w:tc>
      </w:tr>
    </w:tbl>
    <w:bookmarkEnd w:id="0"/>
    <w:p w14:paraId="0FB2A141" w14:textId="4068E258" w:rsidR="000046E1" w:rsidRPr="00FC0448" w:rsidRDefault="00C50968" w:rsidP="000046E1">
      <w:pPr>
        <w:pStyle w:val="Rubrik1"/>
      </w:pPr>
      <w:r>
        <w:t>Information</w:t>
      </w:r>
      <w:r w:rsidR="00E42537">
        <w:t xml:space="preserve"> om förslag till avfallstaxa 2024</w:t>
      </w:r>
      <w:r w:rsidR="000046E1" w:rsidRPr="00FC0448">
        <w:t xml:space="preserve"> </w:t>
      </w:r>
    </w:p>
    <w:p w14:paraId="52E0F894" w14:textId="77777777" w:rsidR="000046E1" w:rsidRPr="00FC0448" w:rsidRDefault="000046E1" w:rsidP="000046E1">
      <w:pPr>
        <w:pStyle w:val="Rubrik2"/>
      </w:pPr>
      <w:r w:rsidRPr="00FC0448">
        <w:t>Förslag till beslut</w:t>
      </w:r>
    </w:p>
    <w:p w14:paraId="4E677C0F" w14:textId="4417F210" w:rsidR="007B053D" w:rsidRPr="00231477" w:rsidRDefault="00231477" w:rsidP="007F76F5">
      <w:pPr>
        <w:pStyle w:val="Brdtext"/>
        <w:numPr>
          <w:ilvl w:val="0"/>
          <w:numId w:val="8"/>
        </w:numPr>
        <w:tabs>
          <w:tab w:val="left" w:pos="1800"/>
        </w:tabs>
        <w:spacing w:after="160"/>
        <w:ind w:left="714" w:hanging="357"/>
      </w:pPr>
      <w:r>
        <w:t xml:space="preserve">Kretslopp och vattennämnden antecknar informationen till protokollet. </w:t>
      </w:r>
    </w:p>
    <w:p w14:paraId="08FFDB34" w14:textId="77777777" w:rsidR="000046E1" w:rsidRPr="00FC0448" w:rsidRDefault="000046E1" w:rsidP="000046E1">
      <w:pPr>
        <w:pStyle w:val="Rubrik2"/>
      </w:pPr>
      <w:r w:rsidRPr="00FC0448">
        <w:t>Sammanfattning</w:t>
      </w:r>
    </w:p>
    <w:p w14:paraId="4FD72A91" w14:textId="2A89D04A" w:rsidR="007F76F5" w:rsidRPr="00A22E94" w:rsidRDefault="007F76F5" w:rsidP="007F76F5">
      <w:pPr>
        <w:pStyle w:val="Brdtext"/>
        <w:spacing w:after="80" w:line="276" w:lineRule="auto"/>
        <w:rPr>
          <w:i/>
          <w:iCs/>
        </w:rPr>
      </w:pPr>
      <w:r w:rsidRPr="00A22E94">
        <w:t xml:space="preserve">Kretslopp och vattennämnden informeras om </w:t>
      </w:r>
      <w:r w:rsidR="00132CB6">
        <w:t xml:space="preserve">två olika </w:t>
      </w:r>
      <w:r w:rsidRPr="00A22E94">
        <w:t>förslag till avfallstaxa att gälla från 202</w:t>
      </w:r>
      <w:r>
        <w:t>4</w:t>
      </w:r>
      <w:r w:rsidRPr="00A22E94">
        <w:t xml:space="preserve">. I september </w:t>
      </w:r>
      <w:r w:rsidR="00C50968">
        <w:t xml:space="preserve">fattas </w:t>
      </w:r>
      <w:r w:rsidRPr="00A22E94">
        <w:t xml:space="preserve">beslut om ett taxeförslag som sedan kan fastställas i </w:t>
      </w:r>
      <w:r w:rsidRPr="00F74C69">
        <w:t>kommunfullmäktige. 2023-0</w:t>
      </w:r>
      <w:r w:rsidR="00F74C69" w:rsidRPr="00F74C69">
        <w:t>4</w:t>
      </w:r>
      <w:r w:rsidRPr="00F74C69">
        <w:t>-</w:t>
      </w:r>
      <w:r w:rsidR="00F74C69" w:rsidRPr="00F74C69">
        <w:t>28</w:t>
      </w:r>
      <w:r w:rsidRPr="00F74C69">
        <w:t xml:space="preserve"> § </w:t>
      </w:r>
      <w:r w:rsidR="00F74C69" w:rsidRPr="00F74C69">
        <w:t>76</w:t>
      </w:r>
      <w:r w:rsidRPr="00F74C69">
        <w:t xml:space="preserve"> beslutade</w:t>
      </w:r>
      <w:r w:rsidR="00C50968">
        <w:t xml:space="preserve"> nämnden</w:t>
      </w:r>
      <w:r w:rsidRPr="00A22E94">
        <w:t xml:space="preserve"> i verksamhetsnomineringar</w:t>
      </w:r>
      <w:r w:rsidR="00F75BF7">
        <w:t>na</w:t>
      </w:r>
      <w:r w:rsidRPr="00A22E94">
        <w:t xml:space="preserve"> </w:t>
      </w:r>
      <w:r w:rsidR="00C50968">
        <w:t>att öka i</w:t>
      </w:r>
      <w:r w:rsidRPr="00A22E94">
        <w:t xml:space="preserve">ntäktsramen </w:t>
      </w:r>
      <w:r w:rsidR="00132CB6">
        <w:t>med</w:t>
      </w:r>
      <w:r w:rsidR="00C50968">
        <w:t xml:space="preserve"> </w:t>
      </w:r>
      <w:r>
        <w:t xml:space="preserve">5,5 </w:t>
      </w:r>
      <w:r w:rsidR="00132CB6">
        <w:t>till</w:t>
      </w:r>
      <w:r>
        <w:t xml:space="preserve"> 7,5 procent</w:t>
      </w:r>
      <w:r w:rsidRPr="00A22E94">
        <w:t xml:space="preserve"> </w:t>
      </w:r>
      <w:r w:rsidR="00132CB6">
        <w:t xml:space="preserve">från 2023 </w:t>
      </w:r>
      <w:r w:rsidR="00C50968">
        <w:t xml:space="preserve">till </w:t>
      </w:r>
      <w:r w:rsidRPr="00A22E94">
        <w:t>202</w:t>
      </w:r>
      <w:r>
        <w:t>4</w:t>
      </w:r>
      <w:r w:rsidRPr="00A22E94">
        <w:t>.</w:t>
      </w:r>
      <w:r w:rsidRPr="00A22E94">
        <w:rPr>
          <w:i/>
          <w:iCs/>
        </w:rPr>
        <w:t xml:space="preserve"> </w:t>
      </w:r>
    </w:p>
    <w:p w14:paraId="33955A1C" w14:textId="596B65FC" w:rsidR="00F75BF7" w:rsidRDefault="00F75BF7" w:rsidP="007F76F5">
      <w:pPr>
        <w:rPr>
          <w:rFonts w:eastAsiaTheme="majorEastAsia"/>
          <w:sz w:val="24"/>
        </w:rPr>
      </w:pPr>
      <w:r>
        <w:rPr>
          <w:rFonts w:eastAsiaTheme="majorEastAsia"/>
          <w:sz w:val="24"/>
        </w:rPr>
        <w:t xml:space="preserve">Från 2024 tar kommunerna över insamlingen av förpackningar från producenterna och olika avtal för att lösa detta tecknas under 2023. </w:t>
      </w:r>
      <w:r w:rsidR="00F74C69">
        <w:rPr>
          <w:rFonts w:eastAsiaTheme="majorEastAsia"/>
          <w:sz w:val="24"/>
        </w:rPr>
        <w:t>K</w:t>
      </w:r>
      <w:r w:rsidR="003A59AE">
        <w:rPr>
          <w:rFonts w:eastAsiaTheme="majorEastAsia"/>
          <w:sz w:val="24"/>
        </w:rPr>
        <w:t>ostnadsbedömningar</w:t>
      </w:r>
      <w:r w:rsidR="00F74C69">
        <w:rPr>
          <w:rFonts w:eastAsiaTheme="majorEastAsia"/>
          <w:sz w:val="24"/>
        </w:rPr>
        <w:t>na</w:t>
      </w:r>
      <w:r w:rsidR="003A59AE">
        <w:rPr>
          <w:rFonts w:eastAsiaTheme="majorEastAsia"/>
          <w:sz w:val="24"/>
        </w:rPr>
        <w:t xml:space="preserve"> för </w:t>
      </w:r>
      <w:r w:rsidR="00F74C69">
        <w:rPr>
          <w:rFonts w:eastAsiaTheme="majorEastAsia"/>
          <w:sz w:val="24"/>
        </w:rPr>
        <w:t>förpackningsinsamling har ökat kraftigt under året</w:t>
      </w:r>
      <w:r w:rsidR="003A59AE">
        <w:rPr>
          <w:rFonts w:eastAsiaTheme="majorEastAsia"/>
          <w:sz w:val="24"/>
        </w:rPr>
        <w:t xml:space="preserve">. </w:t>
      </w:r>
      <w:r>
        <w:rPr>
          <w:rFonts w:eastAsiaTheme="majorEastAsia"/>
          <w:sz w:val="24"/>
        </w:rPr>
        <w:t xml:space="preserve">Renova AB </w:t>
      </w:r>
      <w:r w:rsidR="003A59AE">
        <w:rPr>
          <w:rFonts w:eastAsiaTheme="majorEastAsia"/>
          <w:sz w:val="24"/>
        </w:rPr>
        <w:t xml:space="preserve">har </w:t>
      </w:r>
      <w:r>
        <w:rPr>
          <w:rFonts w:eastAsiaTheme="majorEastAsia"/>
          <w:sz w:val="24"/>
        </w:rPr>
        <w:t xml:space="preserve">meddelat </w:t>
      </w:r>
      <w:r w:rsidR="003A59AE">
        <w:rPr>
          <w:rFonts w:eastAsiaTheme="majorEastAsia"/>
          <w:sz w:val="24"/>
        </w:rPr>
        <w:t xml:space="preserve">2024 års priser för tilldelade uppdrag, även dessa på en högre nivå än förvaltningens </w:t>
      </w:r>
      <w:r w:rsidR="00F74C69">
        <w:rPr>
          <w:rFonts w:eastAsiaTheme="majorEastAsia"/>
          <w:sz w:val="24"/>
        </w:rPr>
        <w:t xml:space="preserve">tidigare </w:t>
      </w:r>
      <w:r w:rsidR="003A59AE">
        <w:rPr>
          <w:rFonts w:eastAsiaTheme="majorEastAsia"/>
          <w:sz w:val="24"/>
        </w:rPr>
        <w:t>bedömningar</w:t>
      </w:r>
      <w:r w:rsidR="00132CB6">
        <w:rPr>
          <w:rFonts w:eastAsiaTheme="majorEastAsia"/>
          <w:sz w:val="24"/>
        </w:rPr>
        <w:t>,</w:t>
      </w:r>
      <w:r w:rsidR="00515297">
        <w:rPr>
          <w:rFonts w:eastAsiaTheme="majorEastAsia"/>
          <w:sz w:val="24"/>
        </w:rPr>
        <w:t xml:space="preserve"> precis som kostnadsindex för upphandlad insamling</w:t>
      </w:r>
      <w:r>
        <w:rPr>
          <w:rFonts w:eastAsiaTheme="majorEastAsia"/>
          <w:sz w:val="24"/>
        </w:rPr>
        <w:t xml:space="preserve">. Förvaltningen visar därför två förslag till förändrad taxeintäkt, ett som följer de tidigare nomineringarna och ett högre </w:t>
      </w:r>
      <w:r w:rsidR="00132CB6">
        <w:rPr>
          <w:rFonts w:eastAsiaTheme="majorEastAsia"/>
          <w:sz w:val="24"/>
        </w:rPr>
        <w:t xml:space="preserve">alternativ </w:t>
      </w:r>
      <w:r>
        <w:rPr>
          <w:rFonts w:eastAsiaTheme="majorEastAsia"/>
          <w:sz w:val="24"/>
        </w:rPr>
        <w:t xml:space="preserve">som ger </w:t>
      </w:r>
      <w:r w:rsidR="00F74C69">
        <w:rPr>
          <w:rFonts w:eastAsiaTheme="majorEastAsia"/>
          <w:sz w:val="24"/>
        </w:rPr>
        <w:t xml:space="preserve">en lägre </w:t>
      </w:r>
      <w:r>
        <w:rPr>
          <w:rFonts w:eastAsiaTheme="majorEastAsia"/>
          <w:sz w:val="24"/>
        </w:rPr>
        <w:t xml:space="preserve">fordran på abonnenterna. </w:t>
      </w:r>
    </w:p>
    <w:p w14:paraId="5AEB4C0C" w14:textId="2FF21BE0" w:rsidR="00F74C69" w:rsidRDefault="007F76F5" w:rsidP="007F76F5">
      <w:pPr>
        <w:rPr>
          <w:rFonts w:eastAsiaTheme="majorEastAsia"/>
          <w:sz w:val="24"/>
        </w:rPr>
      </w:pPr>
      <w:r>
        <w:rPr>
          <w:rFonts w:eastAsiaTheme="majorEastAsia"/>
          <w:sz w:val="24"/>
        </w:rPr>
        <w:t xml:space="preserve">Utifrån förväntad utveckling föreslår förvaltningen att </w:t>
      </w:r>
      <w:r w:rsidR="00F75BF7">
        <w:rPr>
          <w:rFonts w:eastAsiaTheme="majorEastAsia"/>
          <w:sz w:val="24"/>
        </w:rPr>
        <w:t xml:space="preserve">intäkterna </w:t>
      </w:r>
      <w:r>
        <w:rPr>
          <w:rFonts w:eastAsiaTheme="majorEastAsia"/>
          <w:sz w:val="24"/>
        </w:rPr>
        <w:t xml:space="preserve">ökas med i </w:t>
      </w:r>
      <w:r w:rsidRPr="00A22E94">
        <w:rPr>
          <w:rFonts w:eastAsiaTheme="majorEastAsia"/>
          <w:b/>
          <w:bCs/>
          <w:sz w:val="24"/>
        </w:rPr>
        <w:t xml:space="preserve">genomsnitt </w:t>
      </w:r>
      <w:r w:rsidR="00F75BF7">
        <w:rPr>
          <w:rFonts w:eastAsiaTheme="majorEastAsia"/>
          <w:b/>
          <w:bCs/>
          <w:sz w:val="24"/>
        </w:rPr>
        <w:t>1</w:t>
      </w:r>
      <w:r w:rsidR="00F74C69">
        <w:rPr>
          <w:rFonts w:eastAsiaTheme="majorEastAsia"/>
          <w:b/>
          <w:bCs/>
          <w:sz w:val="24"/>
        </w:rPr>
        <w:t>0</w:t>
      </w:r>
      <w:r w:rsidR="00F75BF7">
        <w:rPr>
          <w:rFonts w:eastAsiaTheme="majorEastAsia"/>
          <w:b/>
          <w:bCs/>
          <w:sz w:val="24"/>
        </w:rPr>
        <w:t xml:space="preserve"> procent för att </w:t>
      </w:r>
      <w:r w:rsidR="00F74C69">
        <w:rPr>
          <w:rFonts w:eastAsiaTheme="majorEastAsia"/>
          <w:b/>
          <w:bCs/>
          <w:sz w:val="24"/>
        </w:rPr>
        <w:t>möta</w:t>
      </w:r>
      <w:r w:rsidR="00F75BF7">
        <w:rPr>
          <w:rFonts w:eastAsiaTheme="majorEastAsia"/>
          <w:b/>
          <w:bCs/>
          <w:sz w:val="24"/>
        </w:rPr>
        <w:t xml:space="preserve"> kostnadsutvecklingen. </w:t>
      </w:r>
      <w:r w:rsidR="00F75BF7">
        <w:rPr>
          <w:rFonts w:eastAsiaTheme="majorEastAsia"/>
          <w:sz w:val="24"/>
        </w:rPr>
        <w:t>E</w:t>
      </w:r>
      <w:r>
        <w:rPr>
          <w:rFonts w:eastAsiaTheme="majorEastAsia"/>
          <w:sz w:val="24"/>
        </w:rPr>
        <w:t xml:space="preserve">tt förslag inom </w:t>
      </w:r>
      <w:r w:rsidR="003346FC">
        <w:rPr>
          <w:rFonts w:eastAsiaTheme="majorEastAsia"/>
          <w:sz w:val="24"/>
        </w:rPr>
        <w:t>verksamhets</w:t>
      </w:r>
      <w:r>
        <w:rPr>
          <w:rFonts w:eastAsiaTheme="majorEastAsia"/>
          <w:sz w:val="24"/>
        </w:rPr>
        <w:t>nomineringen</w:t>
      </w:r>
      <w:r w:rsidR="003346FC">
        <w:rPr>
          <w:rFonts w:eastAsiaTheme="majorEastAsia"/>
          <w:sz w:val="24"/>
        </w:rPr>
        <w:t>s nivå</w:t>
      </w:r>
      <w:r w:rsidR="00F75BF7">
        <w:rPr>
          <w:rFonts w:eastAsiaTheme="majorEastAsia"/>
          <w:sz w:val="24"/>
        </w:rPr>
        <w:t xml:space="preserve"> på 7,5 procent presenteras också</w:t>
      </w:r>
      <w:r>
        <w:rPr>
          <w:rFonts w:eastAsiaTheme="majorEastAsia"/>
          <w:sz w:val="24"/>
        </w:rPr>
        <w:t xml:space="preserve">. </w:t>
      </w:r>
    </w:p>
    <w:p w14:paraId="78105DD4" w14:textId="33CCB850" w:rsidR="007F76F5" w:rsidRPr="00A22E94" w:rsidRDefault="00C50968" w:rsidP="007F76F5">
      <w:pPr>
        <w:rPr>
          <w:rFonts w:eastAsiaTheme="majorEastAsia"/>
          <w:sz w:val="24"/>
        </w:rPr>
      </w:pPr>
      <w:r>
        <w:rPr>
          <w:rFonts w:eastAsiaTheme="majorEastAsia"/>
          <w:sz w:val="24"/>
        </w:rPr>
        <w:t xml:space="preserve">En lagändring gör att </w:t>
      </w:r>
      <w:r w:rsidR="00F74C69">
        <w:rPr>
          <w:rFonts w:eastAsiaTheme="majorEastAsia"/>
          <w:sz w:val="24"/>
        </w:rPr>
        <w:t>fler kunder kommer använda</w:t>
      </w:r>
      <w:r>
        <w:rPr>
          <w:rFonts w:eastAsiaTheme="majorEastAsia"/>
          <w:sz w:val="24"/>
        </w:rPr>
        <w:t xml:space="preserve"> billigare tjänster med matavfallsutsortering. Prishöjningen </w:t>
      </w:r>
      <w:r w:rsidR="00515297">
        <w:rPr>
          <w:rFonts w:eastAsiaTheme="majorEastAsia"/>
          <w:sz w:val="24"/>
        </w:rPr>
        <w:t xml:space="preserve">föreslås </w:t>
      </w:r>
      <w:r>
        <w:rPr>
          <w:rFonts w:eastAsiaTheme="majorEastAsia"/>
          <w:sz w:val="24"/>
        </w:rPr>
        <w:t xml:space="preserve">kompensera för denna volymförändring. </w:t>
      </w:r>
      <w:r w:rsidR="00515297">
        <w:rPr>
          <w:rFonts w:eastAsiaTheme="majorEastAsia"/>
          <w:sz w:val="24"/>
        </w:rPr>
        <w:t xml:space="preserve">Dagens miljöstyrningar föreslås kvarstå. </w:t>
      </w:r>
      <w:r w:rsidR="007F76F5">
        <w:rPr>
          <w:rFonts w:eastAsiaTheme="majorEastAsia"/>
          <w:sz w:val="24"/>
        </w:rPr>
        <w:t xml:space="preserve">Viktavgiften föreslås </w:t>
      </w:r>
      <w:r w:rsidR="007F76F5" w:rsidRPr="00515297">
        <w:rPr>
          <w:rFonts w:eastAsiaTheme="majorEastAsia"/>
          <w:sz w:val="24"/>
        </w:rPr>
        <w:t xml:space="preserve">öka till </w:t>
      </w:r>
      <w:r w:rsidR="00515297" w:rsidRPr="00515297">
        <w:rPr>
          <w:rFonts w:eastAsiaTheme="majorEastAsia"/>
          <w:sz w:val="24"/>
        </w:rPr>
        <w:t>3,15</w:t>
      </w:r>
      <w:r w:rsidR="007F76F5" w:rsidRPr="00515297">
        <w:rPr>
          <w:rFonts w:eastAsiaTheme="majorEastAsia"/>
          <w:sz w:val="24"/>
        </w:rPr>
        <w:t xml:space="preserve"> kr per kg från årets 2,</w:t>
      </w:r>
      <w:r w:rsidR="00515297" w:rsidRPr="00515297">
        <w:rPr>
          <w:rFonts w:eastAsiaTheme="majorEastAsia"/>
          <w:sz w:val="24"/>
        </w:rPr>
        <w:t>75</w:t>
      </w:r>
      <w:r w:rsidR="007F76F5" w:rsidRPr="00515297">
        <w:rPr>
          <w:rFonts w:eastAsiaTheme="majorEastAsia"/>
          <w:sz w:val="24"/>
        </w:rPr>
        <w:t xml:space="preserve"> kr/kg, det vill</w:t>
      </w:r>
      <w:r w:rsidR="007F76F5">
        <w:rPr>
          <w:rFonts w:eastAsiaTheme="majorEastAsia"/>
          <w:sz w:val="24"/>
        </w:rPr>
        <w:t xml:space="preserve"> säga med </w:t>
      </w:r>
      <w:r w:rsidR="00515297">
        <w:rPr>
          <w:rFonts w:eastAsiaTheme="majorEastAsia"/>
          <w:sz w:val="24"/>
        </w:rPr>
        <w:t>14,5</w:t>
      </w:r>
      <w:r w:rsidR="007F76F5">
        <w:rPr>
          <w:rFonts w:eastAsiaTheme="majorEastAsia"/>
          <w:sz w:val="24"/>
        </w:rPr>
        <w:t xml:space="preserve"> procent och övriga avgifter föreslås öka med </w:t>
      </w:r>
      <w:r w:rsidR="00515297">
        <w:rPr>
          <w:rFonts w:eastAsiaTheme="majorEastAsia"/>
          <w:sz w:val="24"/>
        </w:rPr>
        <w:t xml:space="preserve">tolv </w:t>
      </w:r>
      <w:r w:rsidR="007F76F5">
        <w:rPr>
          <w:rFonts w:eastAsiaTheme="majorEastAsia"/>
          <w:sz w:val="24"/>
        </w:rPr>
        <w:t xml:space="preserve">procent, med vissa undantag. För en normal småhuskund innebär det en kostnadsökning på </w:t>
      </w:r>
      <w:r w:rsidR="00515297">
        <w:rPr>
          <w:rFonts w:eastAsiaTheme="majorEastAsia"/>
          <w:sz w:val="24"/>
        </w:rPr>
        <w:t>259</w:t>
      </w:r>
      <w:r w:rsidR="007F76F5" w:rsidRPr="0061555A">
        <w:rPr>
          <w:rFonts w:eastAsiaTheme="majorEastAsia"/>
          <w:sz w:val="24"/>
        </w:rPr>
        <w:t xml:space="preserve"> </w:t>
      </w:r>
      <w:r w:rsidR="007F76F5">
        <w:rPr>
          <w:rFonts w:eastAsiaTheme="majorEastAsia"/>
          <w:sz w:val="24"/>
        </w:rPr>
        <w:t xml:space="preserve">kronor per år och för motsvarande lägenhetshushåll </w:t>
      </w:r>
      <w:r w:rsidR="00515297">
        <w:rPr>
          <w:rFonts w:eastAsiaTheme="majorEastAsia"/>
          <w:sz w:val="24"/>
        </w:rPr>
        <w:t>207</w:t>
      </w:r>
      <w:r w:rsidR="007F76F5" w:rsidRPr="00515297">
        <w:rPr>
          <w:rFonts w:eastAsiaTheme="majorEastAsia"/>
          <w:sz w:val="24"/>
        </w:rPr>
        <w:t xml:space="preserve"> kronor per år.</w:t>
      </w:r>
    </w:p>
    <w:p w14:paraId="3AC11077" w14:textId="77777777" w:rsidR="00231477" w:rsidRPr="00231477" w:rsidRDefault="00231477" w:rsidP="003A59AE">
      <w:pPr>
        <w:pStyle w:val="Rubrik3"/>
        <w:spacing w:before="120"/>
      </w:pPr>
      <w:r w:rsidRPr="00231477">
        <w:t>Kretslopp och vatten</w:t>
      </w:r>
    </w:p>
    <w:p w14:paraId="1BF0FA18" w14:textId="77777777" w:rsidR="00231477" w:rsidRPr="00231477" w:rsidRDefault="00231477" w:rsidP="003A59AE">
      <w:pPr>
        <w:spacing w:before="120" w:after="0" w:line="240" w:lineRule="auto"/>
        <w:rPr>
          <w:sz w:val="24"/>
          <w:szCs w:val="28"/>
        </w:rPr>
      </w:pPr>
      <w:r w:rsidRPr="00231477">
        <w:rPr>
          <w:sz w:val="24"/>
          <w:szCs w:val="28"/>
        </w:rPr>
        <w:t>Marianne Erlandson</w:t>
      </w:r>
    </w:p>
    <w:p w14:paraId="3DEB0959" w14:textId="7C9E24B5" w:rsidR="00231477" w:rsidRPr="007B053D" w:rsidRDefault="00231477" w:rsidP="00231477">
      <w:pPr>
        <w:spacing w:after="0" w:line="240" w:lineRule="auto"/>
        <w:rPr>
          <w:sz w:val="24"/>
          <w:szCs w:val="28"/>
        </w:rPr>
      </w:pPr>
      <w:r w:rsidRPr="00231477">
        <w:rPr>
          <w:sz w:val="24"/>
          <w:szCs w:val="28"/>
        </w:rPr>
        <w:t>Förvaltningsdirektör</w:t>
      </w:r>
    </w:p>
    <w:p w14:paraId="7CD27684" w14:textId="77777777" w:rsidR="00261E5E" w:rsidRPr="00261E5E" w:rsidRDefault="00261E5E" w:rsidP="003A59AE">
      <w:pPr>
        <w:pStyle w:val="Rubrik2"/>
      </w:pPr>
      <w:r w:rsidRPr="00261E5E">
        <w:t>Bilagor</w:t>
      </w:r>
    </w:p>
    <w:p w14:paraId="405B7A74" w14:textId="452C77C0" w:rsidR="00261E5E" w:rsidRDefault="00C50968" w:rsidP="007B053D">
      <w:pPr>
        <w:pStyle w:val="Liststycke"/>
        <w:numPr>
          <w:ilvl w:val="0"/>
          <w:numId w:val="6"/>
        </w:numPr>
        <w:spacing w:after="120"/>
        <w:ind w:left="1134" w:hanging="1134"/>
        <w:contextualSpacing w:val="0"/>
        <w:rPr>
          <w:rFonts w:eastAsiaTheme="majorEastAsia"/>
          <w:sz w:val="24"/>
          <w:szCs w:val="28"/>
        </w:rPr>
      </w:pPr>
      <w:r>
        <w:rPr>
          <w:rFonts w:eastAsiaTheme="majorEastAsia"/>
          <w:sz w:val="24"/>
          <w:szCs w:val="28"/>
        </w:rPr>
        <w:t>Förslag till avfallstaxa 2024 förordat alternativ</w:t>
      </w:r>
    </w:p>
    <w:p w14:paraId="0FBFEC47" w14:textId="098D17D0" w:rsidR="00C50968" w:rsidRPr="00C50968" w:rsidRDefault="00C50968" w:rsidP="00784FB2">
      <w:pPr>
        <w:pStyle w:val="Liststycke"/>
        <w:numPr>
          <w:ilvl w:val="0"/>
          <w:numId w:val="6"/>
        </w:numPr>
        <w:spacing w:after="120"/>
        <w:ind w:left="1134" w:hanging="1134"/>
        <w:contextualSpacing w:val="0"/>
        <w:rPr>
          <w:rFonts w:eastAsiaTheme="majorEastAsia"/>
          <w:sz w:val="24"/>
          <w:szCs w:val="28"/>
        </w:rPr>
      </w:pPr>
      <w:r w:rsidRPr="00C50968">
        <w:rPr>
          <w:rFonts w:eastAsiaTheme="majorEastAsia"/>
          <w:sz w:val="24"/>
          <w:szCs w:val="28"/>
        </w:rPr>
        <w:t>Förslag till avfallstaxa 2024 alternativ inom nomineringen</w:t>
      </w:r>
    </w:p>
    <w:p w14:paraId="1075891D" w14:textId="77777777" w:rsidR="000046E1" w:rsidRDefault="000046E1" w:rsidP="00231477">
      <w:pPr>
        <w:pStyle w:val="Rubrik2"/>
      </w:pPr>
      <w:r>
        <w:br w:type="page"/>
      </w:r>
      <w:r>
        <w:lastRenderedPageBreak/>
        <w:t>Ärendet </w:t>
      </w:r>
    </w:p>
    <w:p w14:paraId="287A6166" w14:textId="76242E69" w:rsidR="007342E0" w:rsidRPr="00A22E94" w:rsidRDefault="007342E0" w:rsidP="007342E0">
      <w:pPr>
        <w:pStyle w:val="Brdtext"/>
        <w:spacing w:after="80" w:line="276" w:lineRule="auto"/>
        <w:rPr>
          <w:i/>
          <w:iCs/>
        </w:rPr>
      </w:pPr>
      <w:r w:rsidRPr="00A22E94">
        <w:t>Kretslopp och vattennämnden informeras om</w:t>
      </w:r>
      <w:r>
        <w:t xml:space="preserve"> två alternativa </w:t>
      </w:r>
      <w:r w:rsidRPr="00A22E94">
        <w:t>förslag till avfallstaxa att gälla från 1 januari 202</w:t>
      </w:r>
      <w:r>
        <w:t>4</w:t>
      </w:r>
      <w:r w:rsidRPr="00A22E94">
        <w:t xml:space="preserve">. I september ges möjlighet att besluta om ett taxeförslag till kommunstyrelsen som sedan kan fastställas i kommunfullmäktige. </w:t>
      </w:r>
      <w:r w:rsidR="00F74C69" w:rsidRPr="00F74C69">
        <w:t xml:space="preserve">2023-04-28 § 76 </w:t>
      </w:r>
      <w:r w:rsidRPr="00A22E94">
        <w:t xml:space="preserve">beslutade nämnden i sina verksamhetsnomineringar att rekommendera att intäktsramen för avfallstaxan ökas med </w:t>
      </w:r>
      <w:r>
        <w:t xml:space="preserve">5,5–7,5 </w:t>
      </w:r>
      <w:r w:rsidRPr="00A22E94">
        <w:t>procent mellan 202</w:t>
      </w:r>
      <w:r>
        <w:t>3</w:t>
      </w:r>
      <w:r w:rsidRPr="00A22E94">
        <w:t xml:space="preserve"> och 202</w:t>
      </w:r>
      <w:r>
        <w:t>4</w:t>
      </w:r>
      <w:r w:rsidRPr="00A22E94">
        <w:t>.</w:t>
      </w:r>
      <w:r w:rsidRPr="00A22E94">
        <w:rPr>
          <w:i/>
          <w:iCs/>
        </w:rPr>
        <w:t xml:space="preserve"> </w:t>
      </w:r>
    </w:p>
    <w:p w14:paraId="727686A1" w14:textId="77777777" w:rsidR="000046E1" w:rsidRDefault="000046E1" w:rsidP="000046E1">
      <w:pPr>
        <w:pStyle w:val="Rubrik2"/>
      </w:pPr>
      <w:r>
        <w:t>Beskrivning av ärendet</w:t>
      </w:r>
    </w:p>
    <w:p w14:paraId="293E47CA" w14:textId="7CCBBC35" w:rsidR="007342E0" w:rsidRPr="008544DF" w:rsidRDefault="007342E0" w:rsidP="007342E0">
      <w:pPr>
        <w:pStyle w:val="Brdtext"/>
        <w:spacing w:line="276" w:lineRule="auto"/>
      </w:pPr>
      <w:r>
        <w:t xml:space="preserve">Enligt miljöbalken får </w:t>
      </w:r>
      <w:r w:rsidRPr="008544DF">
        <w:t>intäkter från avfallstaxans avgifter finansiera avfallsverksamhetens kostnader</w:t>
      </w:r>
      <w:r>
        <w:t xml:space="preserve">. Detta ska då </w:t>
      </w:r>
      <w:r w:rsidRPr="008544DF">
        <w:t>ske enligt självkostnadsprincipen. Avfallstaxan ska fastställas av kommunfullmäktige.</w:t>
      </w:r>
      <w:r w:rsidR="003F21CC" w:rsidRPr="003F21CC">
        <w:t xml:space="preserve"> </w:t>
      </w:r>
      <w:r w:rsidR="003346FC">
        <w:t xml:space="preserve">I reglementet för Kretslopp och vattennämnden framgår att nämnden ska föreslå en detaljerad avfallstaxa. </w:t>
      </w:r>
      <w:r w:rsidR="003F21CC" w:rsidRPr="008544DF">
        <w:t>Då avfallstaxan ska finansiera avfallsverksamheten enligt självkostnadsprincipen bör ett nollresultat eftersträvas varje år och om ett över</w:t>
      </w:r>
      <w:r w:rsidR="003F21CC">
        <w:t>- eller under</w:t>
      </w:r>
      <w:r w:rsidR="003F21CC" w:rsidRPr="008544DF">
        <w:t xml:space="preserve">skott byggs upp på ska denna skuld </w:t>
      </w:r>
      <w:r w:rsidR="003F21CC">
        <w:t xml:space="preserve">eller fordran normalt </w:t>
      </w:r>
      <w:r w:rsidR="003F21CC" w:rsidRPr="008544DF">
        <w:t>återställas</w:t>
      </w:r>
      <w:r w:rsidR="003F21CC">
        <w:t xml:space="preserve"> inom tre år</w:t>
      </w:r>
      <w:r w:rsidR="003F21CC" w:rsidRPr="008544DF">
        <w:t>.</w:t>
      </w:r>
    </w:p>
    <w:p w14:paraId="5554E5A6" w14:textId="4263EEDB" w:rsidR="007342E0" w:rsidRDefault="007342E0" w:rsidP="007342E0">
      <w:pPr>
        <w:spacing w:after="120"/>
        <w:rPr>
          <w:rFonts w:ascii="Times New Roman" w:eastAsia="Times New Roman" w:hAnsi="Times New Roman" w:cs="Times New Roman"/>
          <w:sz w:val="24"/>
          <w:lang w:eastAsia="sv-SE"/>
        </w:rPr>
      </w:pPr>
      <w:r w:rsidRPr="008544DF">
        <w:rPr>
          <w:rFonts w:ascii="Times New Roman" w:eastAsia="Times New Roman" w:hAnsi="Times New Roman" w:cs="Times New Roman"/>
          <w:sz w:val="24"/>
          <w:lang w:eastAsia="sv-SE"/>
        </w:rPr>
        <w:t xml:space="preserve">I verksamhetsnomineringarna redovisades förväntade förändringar och dess ekonomiska konsekvenser samt påverkan på </w:t>
      </w:r>
      <w:r>
        <w:rPr>
          <w:rFonts w:ascii="Times New Roman" w:eastAsia="Times New Roman" w:hAnsi="Times New Roman" w:cs="Times New Roman"/>
          <w:sz w:val="24"/>
          <w:lang w:eastAsia="sv-SE"/>
        </w:rPr>
        <w:t>skulden till brukarna</w:t>
      </w:r>
      <w:r w:rsidRPr="008544DF">
        <w:rPr>
          <w:rFonts w:ascii="Times New Roman" w:eastAsia="Times New Roman" w:hAnsi="Times New Roman" w:cs="Times New Roman"/>
          <w:sz w:val="24"/>
          <w:lang w:eastAsia="sv-SE"/>
        </w:rPr>
        <w:t xml:space="preserve">. Kretslopp och vattennämnden ska nu ta fram </w:t>
      </w:r>
      <w:r w:rsidR="003A59AE">
        <w:rPr>
          <w:rFonts w:ascii="Times New Roman" w:eastAsia="Times New Roman" w:hAnsi="Times New Roman" w:cs="Times New Roman"/>
          <w:sz w:val="24"/>
          <w:lang w:eastAsia="sv-SE"/>
        </w:rPr>
        <w:t xml:space="preserve">ett </w:t>
      </w:r>
      <w:r w:rsidRPr="008544DF">
        <w:rPr>
          <w:rFonts w:ascii="Times New Roman" w:eastAsia="Times New Roman" w:hAnsi="Times New Roman" w:cs="Times New Roman"/>
          <w:sz w:val="24"/>
          <w:lang w:eastAsia="sv-SE"/>
        </w:rPr>
        <w:t xml:space="preserve">förslag till </w:t>
      </w:r>
      <w:r w:rsidR="003A59AE">
        <w:rPr>
          <w:rFonts w:ascii="Times New Roman" w:eastAsia="Times New Roman" w:hAnsi="Times New Roman" w:cs="Times New Roman"/>
          <w:sz w:val="24"/>
          <w:lang w:eastAsia="sv-SE"/>
        </w:rPr>
        <w:t>detaljerad avfallstaxa</w:t>
      </w:r>
      <w:r w:rsidRPr="008544DF">
        <w:rPr>
          <w:rFonts w:ascii="Times New Roman" w:eastAsia="Times New Roman" w:hAnsi="Times New Roman" w:cs="Times New Roman"/>
          <w:sz w:val="24"/>
          <w:lang w:eastAsia="sv-SE"/>
        </w:rPr>
        <w:t>. I detta ärende tas hänsyn till utvecklingen hittills under 202</w:t>
      </w:r>
      <w:r>
        <w:rPr>
          <w:rFonts w:ascii="Times New Roman" w:eastAsia="Times New Roman" w:hAnsi="Times New Roman" w:cs="Times New Roman"/>
          <w:sz w:val="24"/>
          <w:lang w:eastAsia="sv-SE"/>
        </w:rPr>
        <w:t>3</w:t>
      </w:r>
      <w:r w:rsidRPr="008544DF">
        <w:rPr>
          <w:rFonts w:ascii="Times New Roman" w:eastAsia="Times New Roman" w:hAnsi="Times New Roman" w:cs="Times New Roman"/>
          <w:sz w:val="24"/>
          <w:lang w:eastAsia="sv-SE"/>
        </w:rPr>
        <w:t xml:space="preserve"> och pågående budgetarbete för 202</w:t>
      </w:r>
      <w:r>
        <w:rPr>
          <w:rFonts w:ascii="Times New Roman" w:eastAsia="Times New Roman" w:hAnsi="Times New Roman" w:cs="Times New Roman"/>
          <w:sz w:val="24"/>
          <w:lang w:eastAsia="sv-SE"/>
        </w:rPr>
        <w:t>4</w:t>
      </w:r>
      <w:r w:rsidRPr="008544DF">
        <w:rPr>
          <w:rFonts w:ascii="Times New Roman" w:eastAsia="Times New Roman" w:hAnsi="Times New Roman" w:cs="Times New Roman"/>
          <w:sz w:val="24"/>
          <w:lang w:eastAsia="sv-SE"/>
        </w:rPr>
        <w:t>.</w:t>
      </w:r>
      <w:r w:rsidR="003F21CC">
        <w:rPr>
          <w:rFonts w:ascii="Times New Roman" w:eastAsia="Times New Roman" w:hAnsi="Times New Roman" w:cs="Times New Roman"/>
          <w:sz w:val="24"/>
          <w:lang w:eastAsia="sv-SE"/>
        </w:rPr>
        <w:t xml:space="preserve"> Det har skett stora förändringar i bedömningarna under året.</w:t>
      </w:r>
    </w:p>
    <w:p w14:paraId="028834FD" w14:textId="3FB115C4" w:rsidR="007342E0" w:rsidRPr="008544DF" w:rsidRDefault="00A53F59" w:rsidP="007342E0">
      <w:pPr>
        <w:spacing w:after="120"/>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I</w:t>
      </w:r>
      <w:r w:rsidR="007342E0" w:rsidRPr="008544DF">
        <w:rPr>
          <w:rFonts w:ascii="Times New Roman" w:eastAsia="Times New Roman" w:hAnsi="Times New Roman" w:cs="Times New Roman"/>
          <w:sz w:val="24"/>
          <w:lang w:eastAsia="sv-SE"/>
        </w:rPr>
        <w:t xml:space="preserve"> detta ärende </w:t>
      </w:r>
      <w:r>
        <w:rPr>
          <w:rFonts w:ascii="Times New Roman" w:eastAsia="Times New Roman" w:hAnsi="Times New Roman" w:cs="Times New Roman"/>
          <w:sz w:val="24"/>
          <w:lang w:eastAsia="sv-SE"/>
        </w:rPr>
        <w:t>föreslås två alternativ som återställer skulden</w:t>
      </w:r>
      <w:r w:rsidR="00132CB6">
        <w:rPr>
          <w:rFonts w:ascii="Times New Roman" w:eastAsia="Times New Roman" w:hAnsi="Times New Roman" w:cs="Times New Roman"/>
          <w:sz w:val="24"/>
          <w:lang w:eastAsia="sv-SE"/>
        </w:rPr>
        <w:t xml:space="preserve"> som förväntas vara cirka 8 miljoner kronor i slutet av 2023</w:t>
      </w:r>
      <w:r>
        <w:rPr>
          <w:rFonts w:ascii="Times New Roman" w:eastAsia="Times New Roman" w:hAnsi="Times New Roman" w:cs="Times New Roman"/>
          <w:sz w:val="24"/>
          <w:lang w:eastAsia="sv-SE"/>
        </w:rPr>
        <w:t xml:space="preserve"> och </w:t>
      </w:r>
      <w:r w:rsidR="00132CB6">
        <w:rPr>
          <w:rFonts w:ascii="Times New Roman" w:eastAsia="Times New Roman" w:hAnsi="Times New Roman" w:cs="Times New Roman"/>
          <w:sz w:val="24"/>
          <w:lang w:eastAsia="sv-SE"/>
        </w:rPr>
        <w:t xml:space="preserve">istället </w:t>
      </w:r>
      <w:r>
        <w:rPr>
          <w:rFonts w:ascii="Times New Roman" w:eastAsia="Times New Roman" w:hAnsi="Times New Roman" w:cs="Times New Roman"/>
          <w:sz w:val="24"/>
          <w:lang w:eastAsia="sv-SE"/>
        </w:rPr>
        <w:t>ger en fordran</w:t>
      </w:r>
      <w:r w:rsidR="003346FC">
        <w:rPr>
          <w:rFonts w:ascii="Times New Roman" w:eastAsia="Times New Roman" w:hAnsi="Times New Roman" w:cs="Times New Roman"/>
          <w:sz w:val="24"/>
          <w:lang w:eastAsia="sv-SE"/>
        </w:rPr>
        <w:t xml:space="preserve"> på abonnenterna</w:t>
      </w:r>
      <w:r w:rsidR="00132CB6">
        <w:rPr>
          <w:rFonts w:ascii="Times New Roman" w:eastAsia="Times New Roman" w:hAnsi="Times New Roman" w:cs="Times New Roman"/>
          <w:sz w:val="24"/>
          <w:lang w:eastAsia="sv-SE"/>
        </w:rPr>
        <w:t>.</w:t>
      </w:r>
      <w:r>
        <w:rPr>
          <w:rFonts w:ascii="Times New Roman" w:eastAsia="Times New Roman" w:hAnsi="Times New Roman" w:cs="Times New Roman"/>
          <w:sz w:val="24"/>
          <w:lang w:eastAsia="sv-SE"/>
        </w:rPr>
        <w:t xml:space="preserve"> </w:t>
      </w:r>
      <w:r w:rsidR="00132CB6">
        <w:rPr>
          <w:rFonts w:ascii="Times New Roman" w:eastAsia="Times New Roman" w:hAnsi="Times New Roman" w:cs="Times New Roman"/>
          <w:sz w:val="24"/>
          <w:lang w:eastAsia="sv-SE"/>
        </w:rPr>
        <w:t>D</w:t>
      </w:r>
      <w:r>
        <w:rPr>
          <w:rFonts w:ascii="Times New Roman" w:eastAsia="Times New Roman" w:hAnsi="Times New Roman" w:cs="Times New Roman"/>
          <w:sz w:val="24"/>
          <w:lang w:eastAsia="sv-SE"/>
        </w:rPr>
        <w:t>et förordade</w:t>
      </w:r>
      <w:r w:rsidR="007342E0" w:rsidRPr="008544DF">
        <w:rPr>
          <w:rFonts w:ascii="Times New Roman" w:eastAsia="Times New Roman" w:hAnsi="Times New Roman" w:cs="Times New Roman"/>
          <w:sz w:val="24"/>
          <w:lang w:eastAsia="sv-SE"/>
        </w:rPr>
        <w:t xml:space="preserve"> </w:t>
      </w:r>
      <w:r w:rsidR="007342E0">
        <w:rPr>
          <w:rFonts w:ascii="Times New Roman" w:eastAsia="Times New Roman" w:hAnsi="Times New Roman" w:cs="Times New Roman"/>
          <w:sz w:val="24"/>
          <w:lang w:eastAsia="sv-SE"/>
        </w:rPr>
        <w:t>alternativ</w:t>
      </w:r>
      <w:r>
        <w:rPr>
          <w:rFonts w:ascii="Times New Roman" w:eastAsia="Times New Roman" w:hAnsi="Times New Roman" w:cs="Times New Roman"/>
          <w:sz w:val="24"/>
          <w:lang w:eastAsia="sv-SE"/>
        </w:rPr>
        <w:t>et</w:t>
      </w:r>
      <w:r w:rsidR="007342E0">
        <w:rPr>
          <w:rFonts w:ascii="Times New Roman" w:eastAsia="Times New Roman" w:hAnsi="Times New Roman" w:cs="Times New Roman"/>
          <w:sz w:val="24"/>
          <w:lang w:eastAsia="sv-SE"/>
        </w:rPr>
        <w:t xml:space="preserve"> med en höjd </w:t>
      </w:r>
      <w:r w:rsidR="007342E0" w:rsidRPr="008544DF">
        <w:rPr>
          <w:rFonts w:ascii="Times New Roman" w:eastAsia="Times New Roman" w:hAnsi="Times New Roman" w:cs="Times New Roman"/>
          <w:sz w:val="24"/>
          <w:lang w:eastAsia="sv-SE"/>
        </w:rPr>
        <w:t xml:space="preserve">taxeintäkt som </w:t>
      </w:r>
      <w:r>
        <w:rPr>
          <w:rFonts w:ascii="Times New Roman" w:eastAsia="Times New Roman" w:hAnsi="Times New Roman" w:cs="Times New Roman"/>
          <w:sz w:val="24"/>
          <w:lang w:eastAsia="sv-SE"/>
        </w:rPr>
        <w:t>ger en fordran på ca 22 m</w:t>
      </w:r>
      <w:r w:rsidR="00132CB6">
        <w:rPr>
          <w:rFonts w:ascii="Times New Roman" w:eastAsia="Times New Roman" w:hAnsi="Times New Roman" w:cs="Times New Roman"/>
          <w:sz w:val="24"/>
          <w:lang w:eastAsia="sv-SE"/>
        </w:rPr>
        <w:t xml:space="preserve">iljoner </w:t>
      </w:r>
      <w:r>
        <w:rPr>
          <w:rFonts w:ascii="Times New Roman" w:eastAsia="Times New Roman" w:hAnsi="Times New Roman" w:cs="Times New Roman"/>
          <w:sz w:val="24"/>
          <w:lang w:eastAsia="sv-SE"/>
        </w:rPr>
        <w:t>kr</w:t>
      </w:r>
      <w:r w:rsidR="00132CB6">
        <w:rPr>
          <w:rFonts w:ascii="Times New Roman" w:eastAsia="Times New Roman" w:hAnsi="Times New Roman" w:cs="Times New Roman"/>
          <w:sz w:val="24"/>
          <w:lang w:eastAsia="sv-SE"/>
        </w:rPr>
        <w:t>onor</w:t>
      </w:r>
      <w:r>
        <w:rPr>
          <w:rFonts w:ascii="Times New Roman" w:eastAsia="Times New Roman" w:hAnsi="Times New Roman" w:cs="Times New Roman"/>
          <w:sz w:val="24"/>
          <w:lang w:eastAsia="sv-SE"/>
        </w:rPr>
        <w:t xml:space="preserve"> och </w:t>
      </w:r>
      <w:r w:rsidR="007342E0">
        <w:rPr>
          <w:rFonts w:ascii="Times New Roman" w:eastAsia="Times New Roman" w:hAnsi="Times New Roman" w:cs="Times New Roman"/>
          <w:sz w:val="24"/>
          <w:lang w:eastAsia="sv-SE"/>
        </w:rPr>
        <w:t xml:space="preserve">ett alternativ </w:t>
      </w:r>
      <w:r>
        <w:rPr>
          <w:rFonts w:ascii="Times New Roman" w:eastAsia="Times New Roman" w:hAnsi="Times New Roman" w:cs="Times New Roman"/>
          <w:sz w:val="24"/>
          <w:lang w:eastAsia="sv-SE"/>
        </w:rPr>
        <w:t xml:space="preserve">inom nomineringarna </w:t>
      </w:r>
      <w:r w:rsidR="007342E0">
        <w:rPr>
          <w:rFonts w:ascii="Times New Roman" w:eastAsia="Times New Roman" w:hAnsi="Times New Roman" w:cs="Times New Roman"/>
          <w:sz w:val="24"/>
          <w:lang w:eastAsia="sv-SE"/>
        </w:rPr>
        <w:t>som ger en fordran</w:t>
      </w:r>
      <w:r>
        <w:rPr>
          <w:rFonts w:ascii="Times New Roman" w:eastAsia="Times New Roman" w:hAnsi="Times New Roman" w:cs="Times New Roman"/>
          <w:sz w:val="24"/>
          <w:lang w:eastAsia="sv-SE"/>
        </w:rPr>
        <w:t xml:space="preserve"> på 37 m</w:t>
      </w:r>
      <w:r w:rsidR="00132CB6">
        <w:rPr>
          <w:rFonts w:ascii="Times New Roman" w:eastAsia="Times New Roman" w:hAnsi="Times New Roman" w:cs="Times New Roman"/>
          <w:sz w:val="24"/>
          <w:lang w:eastAsia="sv-SE"/>
        </w:rPr>
        <w:t xml:space="preserve">iljoner </w:t>
      </w:r>
      <w:r>
        <w:rPr>
          <w:rFonts w:ascii="Times New Roman" w:eastAsia="Times New Roman" w:hAnsi="Times New Roman" w:cs="Times New Roman"/>
          <w:sz w:val="24"/>
          <w:lang w:eastAsia="sv-SE"/>
        </w:rPr>
        <w:t>kr</w:t>
      </w:r>
      <w:r w:rsidR="00132CB6">
        <w:rPr>
          <w:rFonts w:ascii="Times New Roman" w:eastAsia="Times New Roman" w:hAnsi="Times New Roman" w:cs="Times New Roman"/>
          <w:sz w:val="24"/>
          <w:lang w:eastAsia="sv-SE"/>
        </w:rPr>
        <w:t>onor</w:t>
      </w:r>
      <w:r w:rsidR="00515297">
        <w:rPr>
          <w:rFonts w:ascii="Times New Roman" w:eastAsia="Times New Roman" w:hAnsi="Times New Roman" w:cs="Times New Roman"/>
          <w:sz w:val="24"/>
          <w:lang w:eastAsia="sv-SE"/>
        </w:rPr>
        <w:t>. Den fordran som uppstår föreslås återställas inom tre år.</w:t>
      </w:r>
      <w:r w:rsidR="007342E0" w:rsidRPr="008544DF">
        <w:rPr>
          <w:rFonts w:ascii="Times New Roman" w:eastAsia="Times New Roman" w:hAnsi="Times New Roman" w:cs="Times New Roman"/>
          <w:sz w:val="24"/>
          <w:lang w:eastAsia="sv-SE"/>
        </w:rPr>
        <w:t xml:space="preserve"> </w:t>
      </w:r>
    </w:p>
    <w:p w14:paraId="48A695B3" w14:textId="1C19EB17" w:rsidR="007342E0" w:rsidRDefault="007342E0" w:rsidP="007342E0">
      <w:pPr>
        <w:spacing w:after="120"/>
        <w:rPr>
          <w:rFonts w:ascii="Times New Roman" w:eastAsia="Times New Roman" w:hAnsi="Times New Roman" w:cs="Times New Roman"/>
          <w:sz w:val="24"/>
          <w:lang w:eastAsia="sv-SE"/>
        </w:rPr>
      </w:pPr>
      <w:r w:rsidRPr="008544DF">
        <w:rPr>
          <w:rFonts w:ascii="Times New Roman" w:eastAsia="Times New Roman" w:hAnsi="Times New Roman" w:cs="Times New Roman"/>
          <w:sz w:val="24"/>
          <w:lang w:eastAsia="sv-SE"/>
        </w:rPr>
        <w:t xml:space="preserve">Verksamhetens kostnader kommer </w:t>
      </w:r>
      <w:r w:rsidR="00132CB6">
        <w:rPr>
          <w:rFonts w:ascii="Times New Roman" w:eastAsia="Times New Roman" w:hAnsi="Times New Roman" w:cs="Times New Roman"/>
          <w:sz w:val="24"/>
          <w:lang w:eastAsia="sv-SE"/>
        </w:rPr>
        <w:t xml:space="preserve">att </w:t>
      </w:r>
      <w:r w:rsidRPr="008544DF">
        <w:rPr>
          <w:rFonts w:ascii="Times New Roman" w:eastAsia="Times New Roman" w:hAnsi="Times New Roman" w:cs="Times New Roman"/>
          <w:sz w:val="24"/>
          <w:lang w:eastAsia="sv-SE"/>
        </w:rPr>
        <w:t>redovisas mer detaljerat i förvaltningens förslag till budget</w:t>
      </w:r>
      <w:r w:rsidR="00515297">
        <w:rPr>
          <w:rFonts w:ascii="Times New Roman" w:eastAsia="Times New Roman" w:hAnsi="Times New Roman" w:cs="Times New Roman"/>
          <w:sz w:val="24"/>
          <w:lang w:eastAsia="sv-SE"/>
        </w:rPr>
        <w:t xml:space="preserve"> 2024 som tas fram</w:t>
      </w:r>
      <w:r w:rsidRPr="008544DF">
        <w:rPr>
          <w:rFonts w:ascii="Times New Roman" w:eastAsia="Times New Roman" w:hAnsi="Times New Roman" w:cs="Times New Roman"/>
          <w:sz w:val="24"/>
          <w:lang w:eastAsia="sv-SE"/>
        </w:rPr>
        <w:t xml:space="preserve"> under hösten 202</w:t>
      </w:r>
      <w:r>
        <w:rPr>
          <w:rFonts w:ascii="Times New Roman" w:eastAsia="Times New Roman" w:hAnsi="Times New Roman" w:cs="Times New Roman"/>
          <w:sz w:val="24"/>
          <w:lang w:eastAsia="sv-SE"/>
        </w:rPr>
        <w:t>3</w:t>
      </w:r>
      <w:r w:rsidRPr="008544DF">
        <w:rPr>
          <w:rFonts w:ascii="Times New Roman" w:eastAsia="Times New Roman" w:hAnsi="Times New Roman" w:cs="Times New Roman"/>
          <w:sz w:val="24"/>
          <w:lang w:eastAsia="sv-SE"/>
        </w:rPr>
        <w:t xml:space="preserve">. Budgeten kommer </w:t>
      </w:r>
      <w:r w:rsidR="00132CB6">
        <w:rPr>
          <w:rFonts w:ascii="Times New Roman" w:eastAsia="Times New Roman" w:hAnsi="Times New Roman" w:cs="Times New Roman"/>
          <w:sz w:val="24"/>
          <w:lang w:eastAsia="sv-SE"/>
        </w:rPr>
        <w:t xml:space="preserve">att </w:t>
      </w:r>
      <w:r w:rsidRPr="008544DF">
        <w:rPr>
          <w:rFonts w:ascii="Times New Roman" w:eastAsia="Times New Roman" w:hAnsi="Times New Roman" w:cs="Times New Roman"/>
          <w:sz w:val="24"/>
          <w:lang w:eastAsia="sv-SE"/>
        </w:rPr>
        <w:t>baseras på intäkter enligt detta ärende och kommande beslutsärende och förutsätter att de avgifter som föreslås här gäller från 1 januari 202</w:t>
      </w:r>
      <w:r>
        <w:rPr>
          <w:rFonts w:ascii="Times New Roman" w:eastAsia="Times New Roman" w:hAnsi="Times New Roman" w:cs="Times New Roman"/>
          <w:sz w:val="24"/>
          <w:lang w:eastAsia="sv-SE"/>
        </w:rPr>
        <w:t>4</w:t>
      </w:r>
      <w:r w:rsidRPr="008544DF">
        <w:rPr>
          <w:rFonts w:ascii="Times New Roman" w:eastAsia="Times New Roman" w:hAnsi="Times New Roman" w:cs="Times New Roman"/>
          <w:sz w:val="24"/>
          <w:lang w:eastAsia="sv-SE"/>
        </w:rPr>
        <w:t>.</w:t>
      </w:r>
      <w:r w:rsidR="00515297">
        <w:rPr>
          <w:rFonts w:ascii="Times New Roman" w:eastAsia="Times New Roman" w:hAnsi="Times New Roman" w:cs="Times New Roman"/>
          <w:sz w:val="24"/>
          <w:lang w:eastAsia="sv-SE"/>
        </w:rPr>
        <w:t xml:space="preserve"> </w:t>
      </w:r>
    </w:p>
    <w:p w14:paraId="7410DE92" w14:textId="1A018576" w:rsidR="003F09C7" w:rsidRDefault="007342E0" w:rsidP="007342E0">
      <w:pPr>
        <w:spacing w:after="120"/>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Kostnaderna </w:t>
      </w:r>
      <w:r w:rsidR="00132CB6">
        <w:rPr>
          <w:rFonts w:ascii="Times New Roman" w:eastAsia="Times New Roman" w:hAnsi="Times New Roman" w:cs="Times New Roman"/>
          <w:sz w:val="24"/>
          <w:lang w:eastAsia="sv-SE"/>
        </w:rPr>
        <w:t>utgår från</w:t>
      </w:r>
      <w:r>
        <w:rPr>
          <w:rFonts w:ascii="Times New Roman" w:eastAsia="Times New Roman" w:hAnsi="Times New Roman" w:cs="Times New Roman"/>
          <w:sz w:val="24"/>
          <w:lang w:eastAsia="sv-SE"/>
        </w:rPr>
        <w:t xml:space="preserve"> en bibehållen ambitionsnivå för avfallsverksamheten under 2024. Den innehåller f</w:t>
      </w:r>
      <w:r w:rsidRPr="00D17E26">
        <w:rPr>
          <w:rFonts w:ascii="Times New Roman" w:eastAsia="Times New Roman" w:hAnsi="Times New Roman" w:cs="Times New Roman"/>
          <w:sz w:val="24"/>
          <w:lang w:eastAsia="sv-SE"/>
        </w:rPr>
        <w:t>ossilfri insamling</w:t>
      </w:r>
      <w:r>
        <w:rPr>
          <w:rFonts w:ascii="Times New Roman" w:eastAsia="Times New Roman" w:hAnsi="Times New Roman" w:cs="Times New Roman"/>
          <w:sz w:val="24"/>
          <w:lang w:eastAsia="sv-SE"/>
        </w:rPr>
        <w:t xml:space="preserve"> av de flesta avfallsslag</w:t>
      </w:r>
      <w:r w:rsidRPr="00D17E26">
        <w:rPr>
          <w:rFonts w:ascii="Times New Roman" w:eastAsia="Times New Roman" w:hAnsi="Times New Roman" w:cs="Times New Roman"/>
          <w:sz w:val="24"/>
          <w:lang w:eastAsia="sv-SE"/>
        </w:rPr>
        <w:t>, generösa öppettider</w:t>
      </w:r>
      <w:r>
        <w:rPr>
          <w:rFonts w:ascii="Times New Roman" w:eastAsia="Times New Roman" w:hAnsi="Times New Roman" w:cs="Times New Roman"/>
          <w:sz w:val="24"/>
          <w:lang w:eastAsia="sv-SE"/>
        </w:rPr>
        <w:t xml:space="preserve"> </w:t>
      </w:r>
      <w:r w:rsidRPr="00D17E26">
        <w:rPr>
          <w:rFonts w:ascii="Times New Roman" w:eastAsia="Times New Roman" w:hAnsi="Times New Roman" w:cs="Times New Roman"/>
          <w:sz w:val="24"/>
          <w:lang w:eastAsia="sv-SE"/>
        </w:rPr>
        <w:t>vid återvinningscentralerna, relativt omfattande rådgivning till fastighetsägare</w:t>
      </w:r>
      <w:r>
        <w:rPr>
          <w:rFonts w:ascii="Times New Roman" w:eastAsia="Times New Roman" w:hAnsi="Times New Roman" w:cs="Times New Roman"/>
          <w:sz w:val="24"/>
          <w:lang w:eastAsia="sv-SE"/>
        </w:rPr>
        <w:t>,</w:t>
      </w:r>
      <w:r w:rsidRPr="00D17E26">
        <w:rPr>
          <w:rFonts w:ascii="Times New Roman" w:eastAsia="Times New Roman" w:hAnsi="Times New Roman" w:cs="Times New Roman"/>
          <w:sz w:val="24"/>
          <w:lang w:eastAsia="sv-SE"/>
        </w:rPr>
        <w:t xml:space="preserve"> fortsatta</w:t>
      </w:r>
      <w:r>
        <w:rPr>
          <w:rFonts w:ascii="Times New Roman" w:eastAsia="Times New Roman" w:hAnsi="Times New Roman" w:cs="Times New Roman"/>
          <w:sz w:val="24"/>
          <w:lang w:eastAsia="sv-SE"/>
        </w:rPr>
        <w:t xml:space="preserve"> </w:t>
      </w:r>
      <w:r w:rsidRPr="00D17E26">
        <w:rPr>
          <w:rFonts w:ascii="Times New Roman" w:eastAsia="Times New Roman" w:hAnsi="Times New Roman" w:cs="Times New Roman"/>
          <w:sz w:val="24"/>
          <w:lang w:eastAsia="sv-SE"/>
        </w:rPr>
        <w:t>arbetsmiljöåtgärder avseende insamlingsställen, sortering och val av</w:t>
      </w:r>
      <w:r>
        <w:rPr>
          <w:rFonts w:ascii="Times New Roman" w:eastAsia="Times New Roman" w:hAnsi="Times New Roman" w:cs="Times New Roman"/>
          <w:sz w:val="24"/>
          <w:lang w:eastAsia="sv-SE"/>
        </w:rPr>
        <w:t xml:space="preserve"> </w:t>
      </w:r>
      <w:r w:rsidRPr="00D17E26">
        <w:rPr>
          <w:rFonts w:ascii="Times New Roman" w:eastAsia="Times New Roman" w:hAnsi="Times New Roman" w:cs="Times New Roman"/>
          <w:sz w:val="24"/>
          <w:lang w:eastAsia="sv-SE"/>
        </w:rPr>
        <w:t xml:space="preserve">behandlingsmetoder utifrån en avvägning mellan miljökrav och ekonomi. Upphandling och direkttilldelning </w:t>
      </w:r>
      <w:r w:rsidR="003346FC">
        <w:rPr>
          <w:rFonts w:ascii="Times New Roman" w:eastAsia="Times New Roman" w:hAnsi="Times New Roman" w:cs="Times New Roman"/>
          <w:sz w:val="24"/>
          <w:lang w:eastAsia="sv-SE"/>
        </w:rPr>
        <w:t xml:space="preserve">av insamling </w:t>
      </w:r>
      <w:r w:rsidRPr="00D17E26">
        <w:rPr>
          <w:rFonts w:ascii="Times New Roman" w:eastAsia="Times New Roman" w:hAnsi="Times New Roman" w:cs="Times New Roman"/>
          <w:sz w:val="24"/>
          <w:lang w:eastAsia="sv-SE"/>
        </w:rPr>
        <w:t>fortsätter</w:t>
      </w:r>
      <w:r>
        <w:rPr>
          <w:rFonts w:ascii="Times New Roman" w:eastAsia="Times New Roman" w:hAnsi="Times New Roman" w:cs="Times New Roman"/>
          <w:sz w:val="24"/>
          <w:lang w:eastAsia="sv-SE"/>
        </w:rPr>
        <w:t xml:space="preserve"> </w:t>
      </w:r>
      <w:r w:rsidRPr="00D17E26">
        <w:rPr>
          <w:rFonts w:ascii="Times New Roman" w:eastAsia="Times New Roman" w:hAnsi="Times New Roman" w:cs="Times New Roman"/>
          <w:sz w:val="24"/>
          <w:lang w:eastAsia="sv-SE"/>
        </w:rPr>
        <w:t>enligt beslutad plan</w:t>
      </w:r>
      <w:r>
        <w:rPr>
          <w:rFonts w:ascii="Times New Roman" w:eastAsia="Times New Roman" w:hAnsi="Times New Roman" w:cs="Times New Roman"/>
          <w:sz w:val="24"/>
          <w:lang w:eastAsia="sv-SE"/>
        </w:rPr>
        <w:t xml:space="preserve">. </w:t>
      </w:r>
    </w:p>
    <w:p w14:paraId="311D357A" w14:textId="1EC55381" w:rsidR="007342E0" w:rsidRDefault="007342E0" w:rsidP="007342E0">
      <w:pPr>
        <w:spacing w:after="120"/>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Effektiviseringar i insamlingsarbetet sker tillsammans med kunderna och förutom med taxestyrning genom att förvaltningen granskar detaljplaner och bygglov samt genom rådgivning om val av system, placering och utformning av avfallsutrymmen. Dessa effektiviseringar </w:t>
      </w:r>
      <w:r w:rsidR="003F09C7">
        <w:rPr>
          <w:rFonts w:ascii="Times New Roman" w:eastAsia="Times New Roman" w:hAnsi="Times New Roman" w:cs="Times New Roman"/>
          <w:sz w:val="24"/>
          <w:lang w:eastAsia="sv-SE"/>
        </w:rPr>
        <w:t>motverkas</w:t>
      </w:r>
      <w:r>
        <w:rPr>
          <w:rFonts w:ascii="Times New Roman" w:eastAsia="Times New Roman" w:hAnsi="Times New Roman" w:cs="Times New Roman"/>
          <w:sz w:val="24"/>
          <w:lang w:eastAsia="sv-SE"/>
        </w:rPr>
        <w:t xml:space="preserve"> av att antalet fraktioner som ska hämtas </w:t>
      </w:r>
      <w:r w:rsidR="00132CB6">
        <w:rPr>
          <w:rFonts w:ascii="Times New Roman" w:eastAsia="Times New Roman" w:hAnsi="Times New Roman" w:cs="Times New Roman"/>
          <w:sz w:val="24"/>
          <w:lang w:eastAsia="sv-SE"/>
        </w:rPr>
        <w:t xml:space="preserve">från avfallsutrymmena </w:t>
      </w:r>
      <w:r>
        <w:rPr>
          <w:rFonts w:ascii="Times New Roman" w:eastAsia="Times New Roman" w:hAnsi="Times New Roman" w:cs="Times New Roman"/>
          <w:sz w:val="24"/>
          <w:lang w:eastAsia="sv-SE"/>
        </w:rPr>
        <w:t xml:space="preserve">ökar genom matavfallssortering och förpackningsinsamling. En liknande utveckling ses för behandlingskostnaderna där trenden är att </w:t>
      </w:r>
      <w:r>
        <w:rPr>
          <w:rFonts w:ascii="Times New Roman" w:eastAsia="Times New Roman" w:hAnsi="Times New Roman" w:cs="Times New Roman"/>
          <w:sz w:val="24"/>
          <w:lang w:eastAsia="sv-SE"/>
        </w:rPr>
        <w:lastRenderedPageBreak/>
        <w:t>avfallsmängderna per person minskar, men krav på behandlingen driver upp behandlingspriset som även påverkas av fluktuationer på energimarknaden.</w:t>
      </w:r>
    </w:p>
    <w:p w14:paraId="6B1B4B82" w14:textId="3F3E5A21" w:rsidR="00515297" w:rsidRDefault="00515297" w:rsidP="00515297">
      <w:pPr>
        <w:pStyle w:val="Rubrik3"/>
        <w:rPr>
          <w:rFonts w:eastAsia="Times New Roman"/>
          <w:lang w:eastAsia="sv-SE"/>
        </w:rPr>
      </w:pPr>
      <w:r>
        <w:rPr>
          <w:rFonts w:eastAsia="Times New Roman"/>
          <w:lang w:eastAsia="sv-SE"/>
        </w:rPr>
        <w:t xml:space="preserve">Underlag från verksamhetsnomineringarna </w:t>
      </w:r>
    </w:p>
    <w:p w14:paraId="0EC14233" w14:textId="35C87961" w:rsidR="00515297" w:rsidRPr="00515297" w:rsidRDefault="00515297" w:rsidP="001F0164">
      <w:pPr>
        <w:spacing w:after="120"/>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I verksamhetsnomineringarna beskrevs att verksamheten expanderar under de närmaste åren </w:t>
      </w:r>
      <w:r w:rsidRPr="00515297">
        <w:rPr>
          <w:rFonts w:ascii="Times New Roman" w:eastAsia="Times New Roman" w:hAnsi="Times New Roman" w:cs="Times New Roman"/>
          <w:sz w:val="24"/>
          <w:lang w:eastAsia="sv-SE"/>
        </w:rPr>
        <w:t xml:space="preserve">genom </w:t>
      </w:r>
      <w:r w:rsidR="003346FC">
        <w:rPr>
          <w:rFonts w:ascii="Times New Roman" w:eastAsia="Times New Roman" w:hAnsi="Times New Roman" w:cs="Times New Roman"/>
          <w:sz w:val="24"/>
          <w:lang w:eastAsia="sv-SE"/>
        </w:rPr>
        <w:t>ett nytt</w:t>
      </w:r>
      <w:r w:rsidR="003F21CC">
        <w:rPr>
          <w:rFonts w:ascii="Times New Roman" w:eastAsia="Times New Roman" w:hAnsi="Times New Roman" w:cs="Times New Roman"/>
          <w:sz w:val="24"/>
          <w:lang w:eastAsia="sv-SE"/>
        </w:rPr>
        <w:t xml:space="preserve"> </w:t>
      </w:r>
      <w:r w:rsidRPr="00515297">
        <w:rPr>
          <w:rFonts w:ascii="Times New Roman" w:eastAsia="Times New Roman" w:hAnsi="Times New Roman" w:cs="Times New Roman"/>
          <w:sz w:val="24"/>
          <w:lang w:eastAsia="sv-SE"/>
        </w:rPr>
        <w:t xml:space="preserve">ansvar för förpackningsinsamling och </w:t>
      </w:r>
      <w:r w:rsidR="003F21CC">
        <w:rPr>
          <w:rFonts w:ascii="Times New Roman" w:eastAsia="Times New Roman" w:hAnsi="Times New Roman" w:cs="Times New Roman"/>
          <w:sz w:val="24"/>
          <w:lang w:eastAsia="sv-SE"/>
        </w:rPr>
        <w:t xml:space="preserve">genom ett </w:t>
      </w:r>
      <w:r w:rsidRPr="00515297">
        <w:rPr>
          <w:rFonts w:ascii="Times New Roman" w:eastAsia="Times New Roman" w:hAnsi="Times New Roman" w:cs="Times New Roman"/>
          <w:sz w:val="24"/>
          <w:lang w:eastAsia="sv-SE"/>
        </w:rPr>
        <w:t>successivt införande av obligatorisk matavfallssortering.</w:t>
      </w:r>
    </w:p>
    <w:p w14:paraId="67D64618" w14:textId="43F63F99" w:rsidR="00515297" w:rsidRPr="00515297" w:rsidRDefault="00515297" w:rsidP="001F0164">
      <w:pPr>
        <w:spacing w:after="120"/>
        <w:rPr>
          <w:rFonts w:ascii="Times New Roman" w:eastAsia="Times New Roman" w:hAnsi="Times New Roman" w:cs="Times New Roman"/>
          <w:sz w:val="24"/>
          <w:lang w:eastAsia="sv-SE"/>
        </w:rPr>
      </w:pPr>
      <w:r w:rsidRPr="00515297">
        <w:rPr>
          <w:rFonts w:ascii="Times New Roman" w:eastAsia="Times New Roman" w:hAnsi="Times New Roman" w:cs="Times New Roman"/>
          <w:sz w:val="24"/>
          <w:lang w:eastAsia="sv-SE"/>
        </w:rPr>
        <w:t xml:space="preserve">Förvaltningen har hittat möjliga vägar att lösa </w:t>
      </w:r>
      <w:r>
        <w:rPr>
          <w:rFonts w:ascii="Times New Roman" w:eastAsia="Times New Roman" w:hAnsi="Times New Roman" w:cs="Times New Roman"/>
          <w:sz w:val="24"/>
          <w:lang w:eastAsia="sv-SE"/>
        </w:rPr>
        <w:t xml:space="preserve">ansvaret för hushållens förpackningar </w:t>
      </w:r>
      <w:r w:rsidRPr="00515297">
        <w:rPr>
          <w:rFonts w:ascii="Times New Roman" w:eastAsia="Times New Roman" w:hAnsi="Times New Roman" w:cs="Times New Roman"/>
          <w:sz w:val="24"/>
          <w:lang w:eastAsia="sv-SE"/>
        </w:rPr>
        <w:t>med den korta framförhållning som getts</w:t>
      </w:r>
      <w:r w:rsidR="00CB2443">
        <w:rPr>
          <w:rFonts w:ascii="Times New Roman" w:eastAsia="Times New Roman" w:hAnsi="Times New Roman" w:cs="Times New Roman"/>
          <w:sz w:val="24"/>
          <w:lang w:eastAsia="sv-SE"/>
        </w:rPr>
        <w:t>, och erbjuder en kontinuitet i servicen för fastighetsägarna</w:t>
      </w:r>
      <w:r w:rsidRPr="00515297">
        <w:rPr>
          <w:rFonts w:ascii="Times New Roman" w:eastAsia="Times New Roman" w:hAnsi="Times New Roman" w:cs="Times New Roman"/>
          <w:sz w:val="24"/>
          <w:lang w:eastAsia="sv-SE"/>
        </w:rPr>
        <w:t xml:space="preserve">, men önskade samordningsvinster med insamlingen av kommunalt avfall dröjer några år. </w:t>
      </w:r>
      <w:r w:rsidR="00CB2443">
        <w:rPr>
          <w:rFonts w:ascii="Times New Roman" w:eastAsia="Times New Roman" w:hAnsi="Times New Roman" w:cs="Times New Roman"/>
          <w:sz w:val="24"/>
          <w:lang w:eastAsia="sv-SE"/>
        </w:rPr>
        <w:t>Att starta upp och ta över insamling med kort varsel utan stora störningar innebär höga kostnader och stora osäkerheter.</w:t>
      </w:r>
      <w:r w:rsidRPr="00515297">
        <w:rPr>
          <w:rFonts w:ascii="Times New Roman" w:eastAsia="Times New Roman" w:hAnsi="Times New Roman" w:cs="Times New Roman"/>
          <w:sz w:val="24"/>
          <w:lang w:eastAsia="sv-SE"/>
        </w:rPr>
        <w:t>Ersättningen som beta</w:t>
      </w:r>
      <w:r>
        <w:rPr>
          <w:rFonts w:ascii="Times New Roman" w:eastAsia="Times New Roman" w:hAnsi="Times New Roman" w:cs="Times New Roman"/>
          <w:sz w:val="24"/>
          <w:lang w:eastAsia="sv-SE"/>
        </w:rPr>
        <w:t>l</w:t>
      </w:r>
      <w:r w:rsidRPr="00515297">
        <w:rPr>
          <w:rFonts w:ascii="Times New Roman" w:eastAsia="Times New Roman" w:hAnsi="Times New Roman" w:cs="Times New Roman"/>
          <w:sz w:val="24"/>
          <w:lang w:eastAsia="sv-SE"/>
        </w:rPr>
        <w:t>as ut från Naturvårdsverket för förpackningsinsamlingen täcker inte fullt ut kostnaderna som tillkommer</w:t>
      </w:r>
      <w:r>
        <w:rPr>
          <w:rFonts w:ascii="Times New Roman" w:eastAsia="Times New Roman" w:hAnsi="Times New Roman" w:cs="Times New Roman"/>
          <w:sz w:val="24"/>
          <w:lang w:eastAsia="sv-SE"/>
        </w:rPr>
        <w:t xml:space="preserve"> under 2024</w:t>
      </w:r>
      <w:r w:rsidRPr="00515297">
        <w:rPr>
          <w:rFonts w:ascii="Times New Roman" w:eastAsia="Times New Roman" w:hAnsi="Times New Roman" w:cs="Times New Roman"/>
          <w:sz w:val="24"/>
          <w:lang w:eastAsia="sv-SE"/>
        </w:rPr>
        <w:t xml:space="preserve">.  </w:t>
      </w:r>
    </w:p>
    <w:p w14:paraId="239CE3DD" w14:textId="0B20FE96" w:rsidR="00515297" w:rsidRPr="00515297" w:rsidRDefault="00515297" w:rsidP="001F0164">
      <w:pPr>
        <w:spacing w:after="120"/>
        <w:rPr>
          <w:rFonts w:ascii="Times New Roman" w:eastAsia="Times New Roman" w:hAnsi="Times New Roman" w:cs="Times New Roman"/>
          <w:sz w:val="24"/>
          <w:lang w:eastAsia="sv-SE"/>
        </w:rPr>
      </w:pPr>
      <w:r w:rsidRPr="00515297">
        <w:rPr>
          <w:rFonts w:ascii="Times New Roman" w:eastAsia="Times New Roman" w:hAnsi="Times New Roman" w:cs="Times New Roman"/>
          <w:sz w:val="24"/>
          <w:lang w:eastAsia="sv-SE"/>
        </w:rPr>
        <w:t xml:space="preserve">Vad som </w:t>
      </w:r>
      <w:r>
        <w:rPr>
          <w:rFonts w:ascii="Times New Roman" w:eastAsia="Times New Roman" w:hAnsi="Times New Roman" w:cs="Times New Roman"/>
          <w:sz w:val="24"/>
          <w:lang w:eastAsia="sv-SE"/>
        </w:rPr>
        <w:t xml:space="preserve">också </w:t>
      </w:r>
      <w:r w:rsidRPr="00515297">
        <w:rPr>
          <w:rFonts w:ascii="Times New Roman" w:eastAsia="Times New Roman" w:hAnsi="Times New Roman" w:cs="Times New Roman"/>
          <w:sz w:val="24"/>
          <w:lang w:eastAsia="sv-SE"/>
        </w:rPr>
        <w:t>driver upp</w:t>
      </w:r>
      <w:r>
        <w:rPr>
          <w:rFonts w:ascii="Times New Roman" w:eastAsia="Times New Roman" w:hAnsi="Times New Roman" w:cs="Times New Roman"/>
          <w:sz w:val="24"/>
          <w:lang w:eastAsia="sv-SE"/>
        </w:rPr>
        <w:t xml:space="preserve"> </w:t>
      </w:r>
      <w:r w:rsidRPr="00515297">
        <w:rPr>
          <w:rFonts w:ascii="Times New Roman" w:eastAsia="Times New Roman" w:hAnsi="Times New Roman" w:cs="Times New Roman"/>
          <w:sz w:val="24"/>
          <w:lang w:eastAsia="sv-SE"/>
        </w:rPr>
        <w:t xml:space="preserve">kostnaderna </w:t>
      </w:r>
      <w:r>
        <w:rPr>
          <w:rFonts w:ascii="Times New Roman" w:eastAsia="Times New Roman" w:hAnsi="Times New Roman" w:cs="Times New Roman"/>
          <w:sz w:val="24"/>
          <w:lang w:eastAsia="sv-SE"/>
        </w:rPr>
        <w:t xml:space="preserve">2024 </w:t>
      </w:r>
      <w:r w:rsidRPr="00515297">
        <w:rPr>
          <w:rFonts w:ascii="Times New Roman" w:eastAsia="Times New Roman" w:hAnsi="Times New Roman" w:cs="Times New Roman"/>
          <w:sz w:val="24"/>
          <w:lang w:eastAsia="sv-SE"/>
        </w:rPr>
        <w:t>är att mer transport och behandling av matavfall tillkommer, när</w:t>
      </w:r>
      <w:r>
        <w:rPr>
          <w:rFonts w:ascii="Times New Roman" w:eastAsia="Times New Roman" w:hAnsi="Times New Roman" w:cs="Times New Roman"/>
          <w:sz w:val="24"/>
          <w:lang w:eastAsia="sv-SE"/>
        </w:rPr>
        <w:t xml:space="preserve"> </w:t>
      </w:r>
      <w:r w:rsidRPr="00515297">
        <w:rPr>
          <w:rFonts w:ascii="Times New Roman" w:eastAsia="Times New Roman" w:hAnsi="Times New Roman" w:cs="Times New Roman"/>
          <w:sz w:val="24"/>
          <w:lang w:eastAsia="sv-SE"/>
        </w:rPr>
        <w:t>obligatorisk sortering börjar införas, med flerbostadshusen först ut.</w:t>
      </w:r>
      <w:r w:rsidR="003346FC">
        <w:rPr>
          <w:rFonts w:ascii="Times New Roman" w:eastAsia="Times New Roman" w:hAnsi="Times New Roman" w:cs="Times New Roman"/>
          <w:sz w:val="24"/>
          <w:lang w:eastAsia="sv-SE"/>
        </w:rPr>
        <w:t xml:space="preserve"> </w:t>
      </w:r>
    </w:p>
    <w:p w14:paraId="6CA72EC9" w14:textId="73DC49BB" w:rsidR="00515297" w:rsidRPr="00515297" w:rsidRDefault="00515297" w:rsidP="001F0164">
      <w:pPr>
        <w:spacing w:after="120"/>
        <w:rPr>
          <w:rFonts w:ascii="Times New Roman" w:eastAsia="Times New Roman" w:hAnsi="Times New Roman" w:cs="Times New Roman"/>
          <w:sz w:val="24"/>
          <w:lang w:eastAsia="sv-SE"/>
        </w:rPr>
      </w:pPr>
      <w:r w:rsidRPr="00515297">
        <w:rPr>
          <w:rFonts w:ascii="Times New Roman" w:eastAsia="Times New Roman" w:hAnsi="Times New Roman" w:cs="Times New Roman"/>
          <w:sz w:val="24"/>
          <w:lang w:eastAsia="sv-SE"/>
        </w:rPr>
        <w:t xml:space="preserve">De största osäkerheterna utöver det osäkra omvärldsläget beskrevs som osäkerheter avseende kostnader och omfattning av förpackningsinsamlingen. </w:t>
      </w:r>
      <w:r w:rsidR="003F21CC">
        <w:rPr>
          <w:rFonts w:ascii="Times New Roman" w:eastAsia="Times New Roman" w:hAnsi="Times New Roman" w:cs="Times New Roman"/>
          <w:sz w:val="24"/>
          <w:lang w:eastAsia="sv-SE"/>
        </w:rPr>
        <w:t>Osäkerheten omfattar d</w:t>
      </w:r>
      <w:r w:rsidRPr="00515297">
        <w:rPr>
          <w:rFonts w:ascii="Times New Roman" w:eastAsia="Times New Roman" w:hAnsi="Times New Roman" w:cs="Times New Roman"/>
          <w:sz w:val="24"/>
          <w:lang w:eastAsia="sv-SE"/>
        </w:rPr>
        <w:t xml:space="preserve">els </w:t>
      </w:r>
      <w:r>
        <w:rPr>
          <w:rFonts w:ascii="Times New Roman" w:eastAsia="Times New Roman" w:hAnsi="Times New Roman" w:cs="Times New Roman"/>
          <w:sz w:val="24"/>
          <w:lang w:eastAsia="sv-SE"/>
        </w:rPr>
        <w:t>tömning</w:t>
      </w:r>
      <w:r w:rsidR="003F21CC">
        <w:rPr>
          <w:rFonts w:ascii="Times New Roman" w:eastAsia="Times New Roman" w:hAnsi="Times New Roman" w:cs="Times New Roman"/>
          <w:sz w:val="24"/>
          <w:lang w:eastAsia="sv-SE"/>
        </w:rPr>
        <w:t>, städning</w:t>
      </w:r>
      <w:r>
        <w:rPr>
          <w:rFonts w:ascii="Times New Roman" w:eastAsia="Times New Roman" w:hAnsi="Times New Roman" w:cs="Times New Roman"/>
          <w:sz w:val="24"/>
          <w:lang w:eastAsia="sv-SE"/>
        </w:rPr>
        <w:t xml:space="preserve"> och skötsel </w:t>
      </w:r>
      <w:r w:rsidRPr="00515297">
        <w:rPr>
          <w:rFonts w:ascii="Times New Roman" w:eastAsia="Times New Roman" w:hAnsi="Times New Roman" w:cs="Times New Roman"/>
          <w:sz w:val="24"/>
          <w:lang w:eastAsia="sv-SE"/>
        </w:rPr>
        <w:t>av återvinningsstationerna</w:t>
      </w:r>
      <w:r w:rsidR="003F21CC">
        <w:rPr>
          <w:rFonts w:ascii="Times New Roman" w:eastAsia="Times New Roman" w:hAnsi="Times New Roman" w:cs="Times New Roman"/>
          <w:sz w:val="24"/>
          <w:lang w:eastAsia="sv-SE"/>
        </w:rPr>
        <w:t xml:space="preserve">, </w:t>
      </w:r>
      <w:r>
        <w:rPr>
          <w:rFonts w:ascii="Times New Roman" w:eastAsia="Times New Roman" w:hAnsi="Times New Roman" w:cs="Times New Roman"/>
          <w:sz w:val="24"/>
          <w:lang w:eastAsia="sv-SE"/>
        </w:rPr>
        <w:t xml:space="preserve">dels </w:t>
      </w:r>
      <w:r w:rsidRPr="00515297">
        <w:rPr>
          <w:rFonts w:ascii="Times New Roman" w:eastAsia="Times New Roman" w:hAnsi="Times New Roman" w:cs="Times New Roman"/>
          <w:sz w:val="24"/>
          <w:lang w:eastAsia="sv-SE"/>
        </w:rPr>
        <w:t>övertagande av</w:t>
      </w:r>
      <w:r>
        <w:rPr>
          <w:rFonts w:ascii="Times New Roman" w:eastAsia="Times New Roman" w:hAnsi="Times New Roman" w:cs="Times New Roman"/>
          <w:sz w:val="24"/>
          <w:lang w:eastAsia="sv-SE"/>
        </w:rPr>
        <w:t xml:space="preserve"> </w:t>
      </w:r>
      <w:r w:rsidRPr="00515297">
        <w:rPr>
          <w:rFonts w:ascii="Times New Roman" w:eastAsia="Times New Roman" w:hAnsi="Times New Roman" w:cs="Times New Roman"/>
          <w:sz w:val="24"/>
          <w:lang w:eastAsia="sv-SE"/>
        </w:rPr>
        <w:t>ansvaret för fastighetsnära förpackningsinsamling som sker i flerbostadshusens</w:t>
      </w:r>
      <w:r w:rsidR="003F21CC">
        <w:rPr>
          <w:rFonts w:ascii="Times New Roman" w:eastAsia="Times New Roman" w:hAnsi="Times New Roman" w:cs="Times New Roman"/>
          <w:sz w:val="24"/>
          <w:lang w:eastAsia="sv-SE"/>
        </w:rPr>
        <w:t xml:space="preserve"> </w:t>
      </w:r>
      <w:r w:rsidRPr="00515297">
        <w:rPr>
          <w:rFonts w:ascii="Times New Roman" w:eastAsia="Times New Roman" w:hAnsi="Times New Roman" w:cs="Times New Roman"/>
          <w:sz w:val="24"/>
          <w:lang w:eastAsia="sv-SE"/>
        </w:rPr>
        <w:t>avfallsutrymmen</w:t>
      </w:r>
      <w:r w:rsidR="00DF1A22">
        <w:rPr>
          <w:rFonts w:ascii="Times New Roman" w:eastAsia="Times New Roman" w:hAnsi="Times New Roman" w:cs="Times New Roman"/>
          <w:sz w:val="24"/>
          <w:lang w:eastAsia="sv-SE"/>
        </w:rPr>
        <w:t xml:space="preserve"> och </w:t>
      </w:r>
      <w:r w:rsidR="003346FC">
        <w:rPr>
          <w:rFonts w:ascii="Times New Roman" w:eastAsia="Times New Roman" w:hAnsi="Times New Roman" w:cs="Times New Roman"/>
          <w:sz w:val="24"/>
          <w:lang w:eastAsia="sv-SE"/>
        </w:rPr>
        <w:t xml:space="preserve">osäkerheten avser både </w:t>
      </w:r>
      <w:r w:rsidR="00DF1A22">
        <w:rPr>
          <w:rFonts w:ascii="Times New Roman" w:eastAsia="Times New Roman" w:hAnsi="Times New Roman" w:cs="Times New Roman"/>
          <w:sz w:val="24"/>
          <w:lang w:eastAsia="sv-SE"/>
        </w:rPr>
        <w:t>omfattning</w:t>
      </w:r>
      <w:r w:rsidR="003346FC">
        <w:rPr>
          <w:rFonts w:ascii="Times New Roman" w:eastAsia="Times New Roman" w:hAnsi="Times New Roman" w:cs="Times New Roman"/>
          <w:sz w:val="24"/>
          <w:lang w:eastAsia="sv-SE"/>
        </w:rPr>
        <w:t>en</w:t>
      </w:r>
      <w:r w:rsidR="00DF1A22">
        <w:rPr>
          <w:rFonts w:ascii="Times New Roman" w:eastAsia="Times New Roman" w:hAnsi="Times New Roman" w:cs="Times New Roman"/>
          <w:sz w:val="24"/>
          <w:lang w:eastAsia="sv-SE"/>
        </w:rPr>
        <w:t xml:space="preserve"> och kostnader</w:t>
      </w:r>
      <w:r w:rsidR="003346FC">
        <w:rPr>
          <w:rFonts w:ascii="Times New Roman" w:eastAsia="Times New Roman" w:hAnsi="Times New Roman" w:cs="Times New Roman"/>
          <w:sz w:val="24"/>
          <w:lang w:eastAsia="sv-SE"/>
        </w:rPr>
        <w:t>na</w:t>
      </w:r>
      <w:r w:rsidRPr="00515297">
        <w:rPr>
          <w:rFonts w:ascii="Times New Roman" w:eastAsia="Times New Roman" w:hAnsi="Times New Roman" w:cs="Times New Roman"/>
          <w:sz w:val="24"/>
          <w:lang w:eastAsia="sv-SE"/>
        </w:rPr>
        <w:t>.</w:t>
      </w:r>
    </w:p>
    <w:p w14:paraId="787A13A5" w14:textId="5F13F3A8" w:rsidR="000046E1" w:rsidRDefault="001F443C" w:rsidP="000046E1">
      <w:pPr>
        <w:pStyle w:val="Rubrik2"/>
      </w:pPr>
      <w:r>
        <w:t>Förvaltningen</w:t>
      </w:r>
      <w:r w:rsidR="001A061E">
        <w:t>s</w:t>
      </w:r>
      <w:r w:rsidR="000046E1">
        <w:t xml:space="preserve"> bedömning</w:t>
      </w:r>
    </w:p>
    <w:p w14:paraId="4DA516A5" w14:textId="0622E4E5" w:rsidR="007342E0" w:rsidRDefault="007342E0" w:rsidP="007342E0">
      <w:pPr>
        <w:pStyle w:val="Rubrik3"/>
        <w:rPr>
          <w:rFonts w:eastAsia="Times New Roman"/>
        </w:rPr>
      </w:pPr>
      <w:r>
        <w:rPr>
          <w:rFonts w:eastAsia="Times New Roman"/>
        </w:rPr>
        <w:t xml:space="preserve">Förändringar jämfört med </w:t>
      </w:r>
      <w:r w:rsidR="003F21CC">
        <w:rPr>
          <w:rFonts w:eastAsia="Times New Roman"/>
        </w:rPr>
        <w:t>verksamhets</w:t>
      </w:r>
      <w:r>
        <w:rPr>
          <w:rFonts w:eastAsia="Times New Roman"/>
        </w:rPr>
        <w:t>nomineringarna</w:t>
      </w:r>
    </w:p>
    <w:p w14:paraId="7834016D" w14:textId="54DDFBD9" w:rsidR="003A59AE" w:rsidRDefault="00515297" w:rsidP="001F0164">
      <w:pPr>
        <w:spacing w:after="120"/>
        <w:rPr>
          <w:rFonts w:ascii="Times New Roman" w:eastAsia="Times New Roman" w:hAnsi="Times New Roman" w:cs="Times New Roman"/>
          <w:sz w:val="24"/>
          <w:lang w:eastAsia="sv-SE"/>
        </w:rPr>
      </w:pPr>
      <w:r w:rsidRPr="00515297">
        <w:rPr>
          <w:rFonts w:ascii="Times New Roman" w:eastAsia="Times New Roman" w:hAnsi="Times New Roman" w:cs="Times New Roman"/>
          <w:sz w:val="24"/>
          <w:lang w:eastAsia="sv-SE"/>
        </w:rPr>
        <w:t xml:space="preserve">I </w:t>
      </w:r>
      <w:r w:rsidR="003F21CC">
        <w:rPr>
          <w:rFonts w:ascii="Times New Roman" w:eastAsia="Times New Roman" w:hAnsi="Times New Roman" w:cs="Times New Roman"/>
          <w:sz w:val="24"/>
          <w:lang w:eastAsia="sv-SE"/>
        </w:rPr>
        <w:t xml:space="preserve">kostnadsbedömningarna som utgjorde underlag för </w:t>
      </w:r>
      <w:r w:rsidR="004769EC">
        <w:rPr>
          <w:rFonts w:ascii="Times New Roman" w:eastAsia="Times New Roman" w:hAnsi="Times New Roman" w:cs="Times New Roman"/>
          <w:sz w:val="24"/>
          <w:lang w:eastAsia="sv-SE"/>
        </w:rPr>
        <w:t>verksamhets</w:t>
      </w:r>
      <w:r w:rsidRPr="00515297">
        <w:rPr>
          <w:rFonts w:ascii="Times New Roman" w:eastAsia="Times New Roman" w:hAnsi="Times New Roman" w:cs="Times New Roman"/>
          <w:sz w:val="24"/>
          <w:lang w:eastAsia="sv-SE"/>
        </w:rPr>
        <w:t xml:space="preserve">nomineringarna uppskattades de budgeterade kostnadsökningarna </w:t>
      </w:r>
      <w:r w:rsidR="003F21CC">
        <w:rPr>
          <w:rFonts w:ascii="Times New Roman" w:eastAsia="Times New Roman" w:hAnsi="Times New Roman" w:cs="Times New Roman"/>
          <w:sz w:val="24"/>
          <w:lang w:eastAsia="sv-SE"/>
        </w:rPr>
        <w:t xml:space="preserve">mellan 2023 och 2024 </w:t>
      </w:r>
      <w:r w:rsidRPr="00515297">
        <w:rPr>
          <w:rFonts w:ascii="Times New Roman" w:eastAsia="Times New Roman" w:hAnsi="Times New Roman" w:cs="Times New Roman"/>
          <w:sz w:val="24"/>
          <w:lang w:eastAsia="sv-SE"/>
        </w:rPr>
        <w:t>för den upphandlade och tilldelade insamlingen och behandlingen (exklusive</w:t>
      </w:r>
      <w:r>
        <w:rPr>
          <w:rFonts w:ascii="Times New Roman" w:eastAsia="Times New Roman" w:hAnsi="Times New Roman" w:cs="Times New Roman"/>
          <w:sz w:val="24"/>
          <w:lang w:eastAsia="sv-SE"/>
        </w:rPr>
        <w:t xml:space="preserve"> det tillkommande </w:t>
      </w:r>
      <w:r w:rsidRPr="00515297">
        <w:rPr>
          <w:rFonts w:ascii="Times New Roman" w:eastAsia="Times New Roman" w:hAnsi="Times New Roman" w:cs="Times New Roman"/>
          <w:sz w:val="24"/>
          <w:lang w:eastAsia="sv-SE"/>
        </w:rPr>
        <w:t>förpackningsansvaret) till 2–3 procent</w:t>
      </w:r>
      <w:r>
        <w:rPr>
          <w:rFonts w:ascii="Times New Roman" w:eastAsia="Times New Roman" w:hAnsi="Times New Roman" w:cs="Times New Roman"/>
          <w:sz w:val="24"/>
          <w:lang w:eastAsia="sv-SE"/>
        </w:rPr>
        <w:t xml:space="preserve">, baserat på </w:t>
      </w:r>
      <w:r w:rsidRPr="00515297">
        <w:rPr>
          <w:rFonts w:ascii="Times New Roman" w:eastAsia="Times New Roman" w:hAnsi="Times New Roman" w:cs="Times New Roman"/>
          <w:sz w:val="24"/>
          <w:lang w:eastAsia="sv-SE"/>
        </w:rPr>
        <w:t xml:space="preserve">konjunkturinstitutets prognoser. </w:t>
      </w:r>
      <w:r>
        <w:rPr>
          <w:rFonts w:ascii="Times New Roman" w:eastAsia="Times New Roman" w:hAnsi="Times New Roman" w:cs="Times New Roman"/>
          <w:sz w:val="24"/>
          <w:lang w:eastAsia="sv-SE"/>
        </w:rPr>
        <w:t xml:space="preserve">Utifrån </w:t>
      </w:r>
      <w:r w:rsidR="003F21CC">
        <w:rPr>
          <w:rFonts w:ascii="Times New Roman" w:eastAsia="Times New Roman" w:hAnsi="Times New Roman" w:cs="Times New Roman"/>
          <w:sz w:val="24"/>
          <w:lang w:eastAsia="sv-SE"/>
        </w:rPr>
        <w:t xml:space="preserve">årets utveckling </w:t>
      </w:r>
      <w:r>
        <w:rPr>
          <w:rFonts w:ascii="Times New Roman" w:eastAsia="Times New Roman" w:hAnsi="Times New Roman" w:cs="Times New Roman"/>
          <w:sz w:val="24"/>
          <w:lang w:eastAsia="sv-SE"/>
        </w:rPr>
        <w:t xml:space="preserve">och </w:t>
      </w:r>
      <w:r w:rsidR="003F21CC">
        <w:rPr>
          <w:rFonts w:ascii="Times New Roman" w:eastAsia="Times New Roman" w:hAnsi="Times New Roman" w:cs="Times New Roman"/>
          <w:sz w:val="24"/>
          <w:lang w:eastAsia="sv-SE"/>
        </w:rPr>
        <w:t xml:space="preserve">de priser för tilldelningar som meddelats i </w:t>
      </w:r>
      <w:r>
        <w:rPr>
          <w:rFonts w:ascii="Times New Roman" w:eastAsia="Times New Roman" w:hAnsi="Times New Roman" w:cs="Times New Roman"/>
          <w:sz w:val="24"/>
          <w:lang w:eastAsia="sv-SE"/>
        </w:rPr>
        <w:t xml:space="preserve">Renovas prissamråd </w:t>
      </w:r>
      <w:r w:rsidR="003F21CC">
        <w:rPr>
          <w:rFonts w:ascii="Times New Roman" w:eastAsia="Times New Roman" w:hAnsi="Times New Roman" w:cs="Times New Roman"/>
          <w:sz w:val="24"/>
          <w:lang w:eastAsia="sv-SE"/>
        </w:rPr>
        <w:t>sedan i mars behöver</w:t>
      </w:r>
      <w:r>
        <w:rPr>
          <w:rFonts w:ascii="Times New Roman" w:eastAsia="Times New Roman" w:hAnsi="Times New Roman" w:cs="Times New Roman"/>
          <w:sz w:val="24"/>
          <w:lang w:eastAsia="sv-SE"/>
        </w:rPr>
        <w:t xml:space="preserve"> kostnad</w:t>
      </w:r>
      <w:r w:rsidR="003F21CC">
        <w:rPr>
          <w:rFonts w:ascii="Times New Roman" w:eastAsia="Times New Roman" w:hAnsi="Times New Roman" w:cs="Times New Roman"/>
          <w:sz w:val="24"/>
          <w:lang w:eastAsia="sv-SE"/>
        </w:rPr>
        <w:t xml:space="preserve">er 2024 </w:t>
      </w:r>
      <w:r>
        <w:rPr>
          <w:rFonts w:ascii="Times New Roman" w:eastAsia="Times New Roman" w:hAnsi="Times New Roman" w:cs="Times New Roman"/>
          <w:sz w:val="24"/>
          <w:lang w:eastAsia="sv-SE"/>
        </w:rPr>
        <w:t xml:space="preserve">för insamling och behandling nu budgeteras </w:t>
      </w:r>
      <w:r w:rsidR="003F21CC">
        <w:rPr>
          <w:rFonts w:ascii="Times New Roman" w:eastAsia="Times New Roman" w:hAnsi="Times New Roman" w:cs="Times New Roman"/>
          <w:sz w:val="24"/>
          <w:lang w:eastAsia="sv-SE"/>
        </w:rPr>
        <w:t>med en ökning på</w:t>
      </w:r>
      <w:r>
        <w:rPr>
          <w:rFonts w:ascii="Times New Roman" w:eastAsia="Times New Roman" w:hAnsi="Times New Roman" w:cs="Times New Roman"/>
          <w:sz w:val="24"/>
          <w:lang w:eastAsia="sv-SE"/>
        </w:rPr>
        <w:t xml:space="preserve"> 10 procent.</w:t>
      </w:r>
      <w:r w:rsidR="003F21CC">
        <w:rPr>
          <w:rFonts w:ascii="Times New Roman" w:eastAsia="Times New Roman" w:hAnsi="Times New Roman" w:cs="Times New Roman"/>
          <w:sz w:val="24"/>
          <w:lang w:eastAsia="sv-SE"/>
        </w:rPr>
        <w:t xml:space="preserve"> Skillnaden mellan de två bedömningarna motsvarar ca 40 m</w:t>
      </w:r>
      <w:r w:rsidR="003346FC">
        <w:rPr>
          <w:rFonts w:ascii="Times New Roman" w:eastAsia="Times New Roman" w:hAnsi="Times New Roman" w:cs="Times New Roman"/>
          <w:sz w:val="24"/>
          <w:lang w:eastAsia="sv-SE"/>
        </w:rPr>
        <w:t xml:space="preserve">iljoner </w:t>
      </w:r>
      <w:r w:rsidR="003F21CC">
        <w:rPr>
          <w:rFonts w:ascii="Times New Roman" w:eastAsia="Times New Roman" w:hAnsi="Times New Roman" w:cs="Times New Roman"/>
          <w:sz w:val="24"/>
          <w:lang w:eastAsia="sv-SE"/>
        </w:rPr>
        <w:t>kr</w:t>
      </w:r>
      <w:r w:rsidR="003346FC">
        <w:rPr>
          <w:rFonts w:ascii="Times New Roman" w:eastAsia="Times New Roman" w:hAnsi="Times New Roman" w:cs="Times New Roman"/>
          <w:sz w:val="24"/>
          <w:lang w:eastAsia="sv-SE"/>
        </w:rPr>
        <w:t>onor</w:t>
      </w:r>
      <w:r w:rsidR="003F21CC">
        <w:rPr>
          <w:rFonts w:ascii="Times New Roman" w:eastAsia="Times New Roman" w:hAnsi="Times New Roman" w:cs="Times New Roman"/>
          <w:sz w:val="24"/>
          <w:lang w:eastAsia="sv-SE"/>
        </w:rPr>
        <w:t>.</w:t>
      </w:r>
    </w:p>
    <w:p w14:paraId="1FEDC852" w14:textId="30C3CCF2" w:rsidR="003F21CC" w:rsidRDefault="003F21CC" w:rsidP="001F0164">
      <w:pPr>
        <w:spacing w:after="120"/>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Kostnaden för att driva förpackningsinsamlingen är fortfarande mycket osäker, men förvaltningen har fått in mer underlag för bedömningen sedan verksamhetsnomineringarna togs fram. I mars baserades kostnadsbedömningarna </w:t>
      </w:r>
      <w:r w:rsidR="003346FC">
        <w:rPr>
          <w:rFonts w:ascii="Times New Roman" w:eastAsia="Times New Roman" w:hAnsi="Times New Roman" w:cs="Times New Roman"/>
          <w:sz w:val="24"/>
          <w:lang w:eastAsia="sv-SE"/>
        </w:rPr>
        <w:t xml:space="preserve">till stor del </w:t>
      </w:r>
      <w:r>
        <w:rPr>
          <w:rFonts w:ascii="Times New Roman" w:eastAsia="Times New Roman" w:hAnsi="Times New Roman" w:cs="Times New Roman"/>
          <w:sz w:val="24"/>
          <w:lang w:eastAsia="sv-SE"/>
        </w:rPr>
        <w:t xml:space="preserve">på våra erfarenheter från returpappersinsamlingen. Förvaltningen har fått ökad kännedom om omfattningen av dagens insamling i flerbostadshus och framför allt </w:t>
      </w:r>
      <w:r w:rsidR="001F0164">
        <w:rPr>
          <w:rFonts w:ascii="Times New Roman" w:eastAsia="Times New Roman" w:hAnsi="Times New Roman" w:cs="Times New Roman"/>
          <w:sz w:val="24"/>
          <w:lang w:eastAsia="sv-SE"/>
        </w:rPr>
        <w:t xml:space="preserve">om </w:t>
      </w:r>
      <w:r>
        <w:rPr>
          <w:rFonts w:ascii="Times New Roman" w:eastAsia="Times New Roman" w:hAnsi="Times New Roman" w:cs="Times New Roman"/>
          <w:sz w:val="24"/>
          <w:lang w:eastAsia="sv-SE"/>
        </w:rPr>
        <w:t xml:space="preserve">hur omfattande städningen och skötseln av återvinningsstationerna </w:t>
      </w:r>
      <w:r w:rsidR="001F0164">
        <w:rPr>
          <w:rFonts w:ascii="Times New Roman" w:eastAsia="Times New Roman" w:hAnsi="Times New Roman" w:cs="Times New Roman"/>
          <w:sz w:val="24"/>
          <w:lang w:eastAsia="sv-SE"/>
        </w:rPr>
        <w:t xml:space="preserve">var </w:t>
      </w:r>
      <w:r>
        <w:rPr>
          <w:rFonts w:ascii="Times New Roman" w:eastAsia="Times New Roman" w:hAnsi="Times New Roman" w:cs="Times New Roman"/>
          <w:sz w:val="24"/>
          <w:lang w:eastAsia="sv-SE"/>
        </w:rPr>
        <w:t>under 2022</w:t>
      </w:r>
      <w:r w:rsidR="00B75282">
        <w:rPr>
          <w:rFonts w:ascii="Times New Roman" w:eastAsia="Times New Roman" w:hAnsi="Times New Roman" w:cs="Times New Roman"/>
          <w:sz w:val="24"/>
          <w:lang w:eastAsia="sv-SE"/>
        </w:rPr>
        <w:t xml:space="preserve"> och vad det kan innebära för kostnader</w:t>
      </w:r>
      <w:r>
        <w:rPr>
          <w:rFonts w:ascii="Times New Roman" w:eastAsia="Times New Roman" w:hAnsi="Times New Roman" w:cs="Times New Roman"/>
          <w:sz w:val="24"/>
          <w:lang w:eastAsia="sv-SE"/>
        </w:rPr>
        <w:t>. Budgeten för förpackningsrelaterade kostnader har därför ökats med ca 24 m</w:t>
      </w:r>
      <w:r w:rsidR="003346FC">
        <w:rPr>
          <w:rFonts w:ascii="Times New Roman" w:eastAsia="Times New Roman" w:hAnsi="Times New Roman" w:cs="Times New Roman"/>
          <w:sz w:val="24"/>
          <w:lang w:eastAsia="sv-SE"/>
        </w:rPr>
        <w:t xml:space="preserve">iljoner </w:t>
      </w:r>
      <w:r>
        <w:rPr>
          <w:rFonts w:ascii="Times New Roman" w:eastAsia="Times New Roman" w:hAnsi="Times New Roman" w:cs="Times New Roman"/>
          <w:sz w:val="24"/>
          <w:lang w:eastAsia="sv-SE"/>
        </w:rPr>
        <w:t>kr</w:t>
      </w:r>
      <w:r w:rsidR="003346FC">
        <w:rPr>
          <w:rFonts w:ascii="Times New Roman" w:eastAsia="Times New Roman" w:hAnsi="Times New Roman" w:cs="Times New Roman"/>
          <w:sz w:val="24"/>
          <w:lang w:eastAsia="sv-SE"/>
        </w:rPr>
        <w:t>onor</w:t>
      </w:r>
      <w:r>
        <w:rPr>
          <w:rFonts w:ascii="Times New Roman" w:eastAsia="Times New Roman" w:hAnsi="Times New Roman" w:cs="Times New Roman"/>
          <w:sz w:val="24"/>
          <w:lang w:eastAsia="sv-SE"/>
        </w:rPr>
        <w:t xml:space="preserve"> sedan kostnaderna bedömdes inför verksamhetsnomineringarna.</w:t>
      </w:r>
      <w:r w:rsidR="00B75282">
        <w:rPr>
          <w:rFonts w:ascii="Times New Roman" w:eastAsia="Times New Roman" w:hAnsi="Times New Roman" w:cs="Times New Roman"/>
          <w:sz w:val="24"/>
          <w:lang w:eastAsia="sv-SE"/>
        </w:rPr>
        <w:t xml:space="preserve"> Bedömningen av hur stora osäkerheterna är </w:t>
      </w:r>
      <w:r w:rsidR="00B75282">
        <w:rPr>
          <w:rFonts w:ascii="Times New Roman" w:eastAsia="Times New Roman" w:hAnsi="Times New Roman" w:cs="Times New Roman"/>
          <w:sz w:val="24"/>
          <w:lang w:eastAsia="sv-SE"/>
        </w:rPr>
        <w:lastRenderedPageBreak/>
        <w:t>också ökats. Kostnaden för fastighetsnära insamling baseras på data som inte kan kvalitetssäkras från tre av fem avfallsinsamlare vilket innebär att osäkerheten är upp mot 20 miljoner kronor. Osäkerheten avseende tömning och skötsel av återvinningsstationerna är för närvarande i samma storleksordning, men kommer minska något under hösten.</w:t>
      </w:r>
    </w:p>
    <w:p w14:paraId="45A95E9E" w14:textId="12282CD9" w:rsidR="003F21CC" w:rsidRDefault="003F21CC" w:rsidP="001F0164">
      <w:pPr>
        <w:spacing w:after="120"/>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Intäktsbedömningen för ersättningen för förpackningsinsamlingen från Naturvårdsverket har höjts med 4 mkr sedan i mars. </w:t>
      </w:r>
      <w:r w:rsidR="003346FC">
        <w:rPr>
          <w:rFonts w:ascii="Times New Roman" w:eastAsia="Times New Roman" w:hAnsi="Times New Roman" w:cs="Times New Roman"/>
          <w:sz w:val="24"/>
          <w:lang w:eastAsia="sv-SE"/>
        </w:rPr>
        <w:t xml:space="preserve">Förändringen </w:t>
      </w:r>
      <w:r>
        <w:rPr>
          <w:rFonts w:ascii="Times New Roman" w:eastAsia="Times New Roman" w:hAnsi="Times New Roman" w:cs="Times New Roman"/>
          <w:sz w:val="24"/>
          <w:lang w:eastAsia="sv-SE"/>
        </w:rPr>
        <w:t xml:space="preserve">baseras på att ett reviderat förslag till ersättningsnivåer </w:t>
      </w:r>
      <w:r w:rsidR="003346FC">
        <w:rPr>
          <w:rFonts w:ascii="Times New Roman" w:eastAsia="Times New Roman" w:hAnsi="Times New Roman" w:cs="Times New Roman"/>
          <w:sz w:val="24"/>
          <w:lang w:eastAsia="sv-SE"/>
        </w:rPr>
        <w:t xml:space="preserve">som </w:t>
      </w:r>
      <w:r>
        <w:rPr>
          <w:rFonts w:ascii="Times New Roman" w:eastAsia="Times New Roman" w:hAnsi="Times New Roman" w:cs="Times New Roman"/>
          <w:sz w:val="24"/>
          <w:lang w:eastAsia="sv-SE"/>
        </w:rPr>
        <w:t>skickats på remiss under sommaren.</w:t>
      </w:r>
    </w:p>
    <w:p w14:paraId="79297567" w14:textId="2C5FBD27" w:rsidR="00103693" w:rsidRDefault="003F21CC" w:rsidP="00DF1A22">
      <w:pPr>
        <w:spacing w:after="120"/>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Vissa andra mindre belopp har reviderats utifrån det ekonomiska utfallet i maj, men inte på samma nivå som ovan</w:t>
      </w:r>
      <w:r w:rsidR="001F0164">
        <w:rPr>
          <w:rFonts w:ascii="Times New Roman" w:eastAsia="Times New Roman" w:hAnsi="Times New Roman" w:cs="Times New Roman"/>
          <w:sz w:val="24"/>
          <w:lang w:eastAsia="sv-SE"/>
        </w:rPr>
        <w:t>stående punkter</w:t>
      </w:r>
      <w:r>
        <w:rPr>
          <w:rFonts w:ascii="Times New Roman" w:eastAsia="Times New Roman" w:hAnsi="Times New Roman" w:cs="Times New Roman"/>
          <w:sz w:val="24"/>
          <w:lang w:eastAsia="sv-SE"/>
        </w:rPr>
        <w:t>. I stället för att öka skulden till abonnenterna med 5 m</w:t>
      </w:r>
      <w:r w:rsidR="003346FC">
        <w:rPr>
          <w:rFonts w:ascii="Times New Roman" w:eastAsia="Times New Roman" w:hAnsi="Times New Roman" w:cs="Times New Roman"/>
          <w:sz w:val="24"/>
          <w:lang w:eastAsia="sv-SE"/>
        </w:rPr>
        <w:t xml:space="preserve">iljoner </w:t>
      </w:r>
      <w:r>
        <w:rPr>
          <w:rFonts w:ascii="Times New Roman" w:eastAsia="Times New Roman" w:hAnsi="Times New Roman" w:cs="Times New Roman"/>
          <w:sz w:val="24"/>
          <w:lang w:eastAsia="sv-SE"/>
        </w:rPr>
        <w:t>kr</w:t>
      </w:r>
      <w:r w:rsidR="003346FC">
        <w:rPr>
          <w:rFonts w:ascii="Times New Roman" w:eastAsia="Times New Roman" w:hAnsi="Times New Roman" w:cs="Times New Roman"/>
          <w:sz w:val="24"/>
          <w:lang w:eastAsia="sv-SE"/>
        </w:rPr>
        <w:t>onor</w:t>
      </w:r>
      <w:r>
        <w:rPr>
          <w:rFonts w:ascii="Times New Roman" w:eastAsia="Times New Roman" w:hAnsi="Times New Roman" w:cs="Times New Roman"/>
          <w:sz w:val="24"/>
          <w:lang w:eastAsia="sv-SE"/>
        </w:rPr>
        <w:t xml:space="preserve"> (med 5,9 procents intäktsökning) som visades i nomineringarna visar förvaltningens nya kostnadsbedömningar på att underskottet med den nominerade taxeintäkten (med nyttjande av hela nomineringsspannet på 7,5 procents ökning) skulle resultera i en fordran på abonnenterna på 37 mkr vid utgången av 2024.  </w:t>
      </w:r>
    </w:p>
    <w:p w14:paraId="6663AE73" w14:textId="77777777" w:rsidR="003A59AE" w:rsidRDefault="007342E0" w:rsidP="007342E0">
      <w:pPr>
        <w:pStyle w:val="Rubrik3"/>
        <w:jc w:val="both"/>
        <w:rPr>
          <w:rFonts w:eastAsia="Times New Roman"/>
          <w:lang w:eastAsia="sv-SE"/>
        </w:rPr>
      </w:pPr>
      <w:bookmarkStart w:id="1" w:name="_Toc463016107"/>
      <w:r w:rsidRPr="00F42AB6">
        <w:rPr>
          <w:rFonts w:eastAsia="Times New Roman"/>
          <w:lang w:eastAsia="sv-SE"/>
        </w:rPr>
        <w:t>Förslag till intäktsförändring</w:t>
      </w:r>
      <w:bookmarkEnd w:id="1"/>
      <w:r w:rsidR="003A59AE">
        <w:rPr>
          <w:rFonts w:eastAsia="Times New Roman"/>
          <w:lang w:eastAsia="sv-SE"/>
        </w:rPr>
        <w:t xml:space="preserve"> </w:t>
      </w:r>
    </w:p>
    <w:p w14:paraId="5FE35D89" w14:textId="787A1E49" w:rsidR="00103693" w:rsidRDefault="001F0164" w:rsidP="00132CB6">
      <w:pPr>
        <w:pStyle w:val="Rubrik4"/>
        <w:rPr>
          <w:rFonts w:eastAsia="Times New Roman"/>
          <w:lang w:eastAsia="sv-SE"/>
        </w:rPr>
      </w:pPr>
      <w:r>
        <w:rPr>
          <w:rFonts w:eastAsia="Times New Roman"/>
          <w:lang w:eastAsia="sv-SE"/>
        </w:rPr>
        <w:t>Förordat a</w:t>
      </w:r>
      <w:r w:rsidR="00103693">
        <w:rPr>
          <w:rFonts w:eastAsia="Times New Roman"/>
          <w:lang w:eastAsia="sv-SE"/>
        </w:rPr>
        <w:t xml:space="preserve">lternativ </w:t>
      </w:r>
      <w:r>
        <w:rPr>
          <w:rFonts w:eastAsia="Times New Roman"/>
          <w:lang w:eastAsia="sv-SE"/>
        </w:rPr>
        <w:t xml:space="preserve">med </w:t>
      </w:r>
      <w:r w:rsidR="00132CB6">
        <w:rPr>
          <w:rFonts w:eastAsia="Times New Roman"/>
          <w:lang w:eastAsia="sv-SE"/>
        </w:rPr>
        <w:t>12,5 procents avgiftshöjning</w:t>
      </w:r>
    </w:p>
    <w:p w14:paraId="75F518A1" w14:textId="77777777" w:rsidR="003916F9" w:rsidRDefault="001F0164" w:rsidP="001F0164">
      <w:pPr>
        <w:spacing w:after="120"/>
        <w:rPr>
          <w:sz w:val="24"/>
          <w:szCs w:val="28"/>
          <w:lang w:eastAsia="sv-SE"/>
        </w:rPr>
      </w:pPr>
      <w:r w:rsidRPr="00DF1A22">
        <w:rPr>
          <w:sz w:val="24"/>
          <w:szCs w:val="28"/>
          <w:lang w:eastAsia="sv-SE"/>
        </w:rPr>
        <w:t xml:space="preserve">Eftersom bedömningen av kostnadsnivån för 2024 ligger på en mycket högre nivå nu än i samband med nomineringarna föreslår förvaltningen att nomineringarna överskrids och att taxeintäkten tillåts öka med </w:t>
      </w:r>
      <w:r w:rsidR="00931857">
        <w:rPr>
          <w:sz w:val="24"/>
          <w:szCs w:val="28"/>
          <w:lang w:eastAsia="sv-SE"/>
        </w:rPr>
        <w:t>tio</w:t>
      </w:r>
      <w:r w:rsidRPr="00DF1A22">
        <w:rPr>
          <w:sz w:val="24"/>
          <w:szCs w:val="28"/>
          <w:lang w:eastAsia="sv-SE"/>
        </w:rPr>
        <w:t xml:space="preserve"> procent. En sådan högre höjning ger ändå en fordran på abonnenterna </w:t>
      </w:r>
      <w:r w:rsidR="00DF1A22">
        <w:rPr>
          <w:sz w:val="24"/>
          <w:szCs w:val="28"/>
          <w:lang w:eastAsia="sv-SE"/>
        </w:rPr>
        <w:t xml:space="preserve">på 22 mkr </w:t>
      </w:r>
      <w:r w:rsidRPr="00DF1A22">
        <w:rPr>
          <w:sz w:val="24"/>
          <w:szCs w:val="28"/>
          <w:lang w:eastAsia="sv-SE"/>
        </w:rPr>
        <w:t xml:space="preserve">som behöver återställas inom tre år </w:t>
      </w:r>
      <w:r w:rsidR="00DF1A22">
        <w:rPr>
          <w:sz w:val="24"/>
          <w:szCs w:val="28"/>
          <w:lang w:eastAsia="sv-SE"/>
        </w:rPr>
        <w:t>vilket ger</w:t>
      </w:r>
      <w:r w:rsidRPr="00DF1A22">
        <w:rPr>
          <w:sz w:val="24"/>
          <w:szCs w:val="28"/>
          <w:lang w:eastAsia="sv-SE"/>
        </w:rPr>
        <w:t xml:space="preserve"> fortsatta höjningar de närmaste åren.</w:t>
      </w:r>
      <w:r w:rsidR="00DF1A22">
        <w:rPr>
          <w:sz w:val="24"/>
          <w:szCs w:val="28"/>
          <w:lang w:eastAsia="sv-SE"/>
        </w:rPr>
        <w:t xml:space="preserve"> Bedömningen är att det krävs tioprocentiga intäktsökningar även 2025 och 2026 för att </w:t>
      </w:r>
      <w:r w:rsidR="003346FC">
        <w:rPr>
          <w:sz w:val="24"/>
          <w:szCs w:val="28"/>
          <w:lang w:eastAsia="sv-SE"/>
        </w:rPr>
        <w:t>återställa fordran på abonnenterna</w:t>
      </w:r>
      <w:r w:rsidR="00DF1A22">
        <w:rPr>
          <w:sz w:val="24"/>
          <w:szCs w:val="28"/>
          <w:lang w:eastAsia="sv-SE"/>
        </w:rPr>
        <w:t xml:space="preserve"> till 2027</w:t>
      </w:r>
      <w:r w:rsidR="00931857">
        <w:rPr>
          <w:sz w:val="24"/>
          <w:szCs w:val="28"/>
          <w:lang w:eastAsia="sv-SE"/>
        </w:rPr>
        <w:t xml:space="preserve"> med en höjning på ca sju procent</w:t>
      </w:r>
      <w:r w:rsidR="00DF1A22">
        <w:rPr>
          <w:sz w:val="24"/>
          <w:szCs w:val="28"/>
          <w:lang w:eastAsia="sv-SE"/>
        </w:rPr>
        <w:t>.</w:t>
      </w:r>
      <w:r w:rsidR="00132CB6" w:rsidRPr="00132CB6">
        <w:rPr>
          <w:sz w:val="24"/>
          <w:szCs w:val="28"/>
          <w:lang w:eastAsia="sv-SE"/>
        </w:rPr>
        <w:t xml:space="preserve"> </w:t>
      </w:r>
      <w:r w:rsidR="00132CB6">
        <w:rPr>
          <w:sz w:val="24"/>
          <w:szCs w:val="28"/>
          <w:lang w:eastAsia="sv-SE"/>
        </w:rPr>
        <w:t xml:space="preserve">För att ge en taxeintäktsökning på </w:t>
      </w:r>
      <w:r w:rsidR="00931857">
        <w:rPr>
          <w:sz w:val="24"/>
          <w:szCs w:val="28"/>
          <w:lang w:eastAsia="sv-SE"/>
        </w:rPr>
        <w:t>tio</w:t>
      </w:r>
      <w:r w:rsidR="00132CB6">
        <w:rPr>
          <w:sz w:val="24"/>
          <w:szCs w:val="28"/>
          <w:lang w:eastAsia="sv-SE"/>
        </w:rPr>
        <w:t xml:space="preserve"> procent till 2024 krävs prishöjningar på i genomsnitt 12,5 procent för att kompensera bortfallet av intäkter för blandat avfall och minskande avfallsvikter. </w:t>
      </w:r>
      <w:r w:rsidR="003916F9">
        <w:rPr>
          <w:sz w:val="24"/>
          <w:szCs w:val="28"/>
          <w:lang w:eastAsia="sv-SE"/>
        </w:rPr>
        <w:t xml:space="preserve">Samtidigt föreligger mycket stora osäkerheter i kostnaderna för förpackningsinsamlingen 2024 och därmed är det osäkra bedömningar även för 2025 och 2026. </w:t>
      </w:r>
    </w:p>
    <w:p w14:paraId="2DB5B9AB" w14:textId="651515DE" w:rsidR="001F0164" w:rsidRPr="00DF1A22" w:rsidRDefault="003916F9" w:rsidP="001F0164">
      <w:pPr>
        <w:spacing w:after="120"/>
        <w:rPr>
          <w:sz w:val="24"/>
          <w:szCs w:val="28"/>
          <w:lang w:eastAsia="sv-SE"/>
        </w:rPr>
      </w:pPr>
      <w:r>
        <w:rPr>
          <w:sz w:val="24"/>
          <w:szCs w:val="28"/>
          <w:lang w:eastAsia="sv-SE"/>
        </w:rPr>
        <w:t>Osäkerheterna härrör främst till förpackningsinsamlingen. Förvaltningen har inte kännedom om komplett och korrekt antal avfallsutrymmen som har förpackningsinsamling av olika sorters förpackningar idag och inte heller om antal lägenheter de betjänar. Dessa parametrar utgör grund för kommande kostnader och för ersättningen och kan påverka ekonomin med upp mot tio miljoner kronor under 2024. Kostnaden för tömning av återvinningsstationerna kommer framgå av upphandlingar som genomförs nu, men kommande kostnader för städning beror på hur många städtillfällen som kommer behövas under 2024. Utfallet under 2024 kommer behöva utgöra underlag för stora revideringar av planen för kommande år.</w:t>
      </w:r>
    </w:p>
    <w:tbl>
      <w:tblPr>
        <w:tblStyle w:val="Listtabell7frgstarkdekorfrg5"/>
        <w:tblW w:w="8647" w:type="dxa"/>
        <w:tblLayout w:type="fixed"/>
        <w:tblLook w:val="04A0" w:firstRow="1" w:lastRow="0" w:firstColumn="1" w:lastColumn="0" w:noHBand="0" w:noVBand="1"/>
      </w:tblPr>
      <w:tblGrid>
        <w:gridCol w:w="3261"/>
        <w:gridCol w:w="1346"/>
        <w:gridCol w:w="1347"/>
        <w:gridCol w:w="1346"/>
        <w:gridCol w:w="1347"/>
      </w:tblGrid>
      <w:tr w:rsidR="00DF1A22" w:rsidRPr="00DF1A22" w14:paraId="417D0FE5" w14:textId="77777777" w:rsidTr="00931857">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3261" w:type="dxa"/>
            <w:noWrap/>
            <w:hideMark/>
          </w:tcPr>
          <w:p w14:paraId="16812C60" w14:textId="6EFE7407" w:rsidR="00DF1A22" w:rsidRPr="00DF1A22" w:rsidRDefault="00931857" w:rsidP="00931857">
            <w:pPr>
              <w:keepNext/>
              <w:spacing w:after="0" w:line="240" w:lineRule="auto"/>
              <w:jc w:val="left"/>
              <w:rPr>
                <w:rFonts w:ascii="Times New Roman" w:eastAsia="Times New Roman" w:hAnsi="Times New Roman" w:cs="Times New Roman"/>
                <w:sz w:val="20"/>
                <w:lang w:eastAsia="sv-SE"/>
              </w:rPr>
            </w:pPr>
            <w:r>
              <w:rPr>
                <w:rFonts w:ascii="Times New Roman" w:eastAsia="Times New Roman" w:hAnsi="Times New Roman" w:cs="Times New Roman"/>
                <w:sz w:val="20"/>
                <w:lang w:eastAsia="sv-SE"/>
              </w:rPr>
              <w:lastRenderedPageBreak/>
              <w:t>miljoner kronor</w:t>
            </w:r>
          </w:p>
        </w:tc>
        <w:tc>
          <w:tcPr>
            <w:tcW w:w="1346" w:type="dxa"/>
            <w:tcBorders>
              <w:right w:val="single" w:sz="4" w:space="0" w:color="auto"/>
            </w:tcBorders>
            <w:noWrap/>
            <w:hideMark/>
          </w:tcPr>
          <w:p w14:paraId="749025D4" w14:textId="77777777" w:rsidR="00DF1A22" w:rsidRPr="00DF1A22" w:rsidRDefault="00DF1A22" w:rsidP="00931857">
            <w:pPr>
              <w:keepNext/>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2023</w:t>
            </w:r>
          </w:p>
        </w:tc>
        <w:tc>
          <w:tcPr>
            <w:tcW w:w="1347" w:type="dxa"/>
            <w:tcBorders>
              <w:top w:val="single" w:sz="4" w:space="0" w:color="auto"/>
              <w:left w:val="single" w:sz="4" w:space="0" w:color="auto"/>
              <w:right w:val="single" w:sz="4" w:space="0" w:color="auto"/>
            </w:tcBorders>
            <w:noWrap/>
            <w:hideMark/>
          </w:tcPr>
          <w:p w14:paraId="590836BE" w14:textId="77777777" w:rsidR="00DF1A22" w:rsidRPr="00DF1A22" w:rsidRDefault="00DF1A22" w:rsidP="00931857">
            <w:pPr>
              <w:keepNext/>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2024</w:t>
            </w:r>
          </w:p>
        </w:tc>
        <w:tc>
          <w:tcPr>
            <w:tcW w:w="1346" w:type="dxa"/>
            <w:tcBorders>
              <w:left w:val="single" w:sz="4" w:space="0" w:color="auto"/>
            </w:tcBorders>
            <w:noWrap/>
            <w:hideMark/>
          </w:tcPr>
          <w:p w14:paraId="2B28F343" w14:textId="77777777" w:rsidR="00DF1A22" w:rsidRPr="00DF1A22" w:rsidRDefault="00DF1A22" w:rsidP="00931857">
            <w:pPr>
              <w:keepNext/>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2025</w:t>
            </w:r>
          </w:p>
        </w:tc>
        <w:tc>
          <w:tcPr>
            <w:tcW w:w="1347" w:type="dxa"/>
            <w:noWrap/>
            <w:hideMark/>
          </w:tcPr>
          <w:p w14:paraId="5D091BD1" w14:textId="77777777" w:rsidR="00DF1A22" w:rsidRPr="00DF1A22" w:rsidRDefault="00DF1A22" w:rsidP="00931857">
            <w:pPr>
              <w:keepNext/>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2026</w:t>
            </w:r>
          </w:p>
        </w:tc>
      </w:tr>
      <w:tr w:rsidR="00931857" w:rsidRPr="00DF1A22" w14:paraId="1B092B0A" w14:textId="77777777" w:rsidTr="009318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61" w:type="dxa"/>
            <w:noWrap/>
            <w:hideMark/>
          </w:tcPr>
          <w:p w14:paraId="75D79E67" w14:textId="6F889E23" w:rsidR="00931857" w:rsidRPr="00DF1A22" w:rsidRDefault="00931857" w:rsidP="00931857">
            <w:pPr>
              <w:keepNext/>
              <w:spacing w:after="0" w:line="240" w:lineRule="auto"/>
              <w:jc w:val="left"/>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Taxe</w:t>
            </w:r>
            <w:r>
              <w:rPr>
                <w:rFonts w:ascii="Calibri" w:eastAsia="Times New Roman" w:hAnsi="Calibri" w:cs="Calibri"/>
                <w:b/>
                <w:bCs/>
                <w:color w:val="000000"/>
                <w:szCs w:val="22"/>
                <w:lang w:eastAsia="sv-SE"/>
              </w:rPr>
              <w:t>intäkts</w:t>
            </w:r>
            <w:r w:rsidRPr="00DF1A22">
              <w:rPr>
                <w:rFonts w:ascii="Calibri" w:eastAsia="Times New Roman" w:hAnsi="Calibri" w:cs="Calibri"/>
                <w:b/>
                <w:bCs/>
                <w:color w:val="000000"/>
                <w:szCs w:val="22"/>
                <w:lang w:eastAsia="sv-SE"/>
              </w:rPr>
              <w:t>förändring</w:t>
            </w:r>
          </w:p>
        </w:tc>
        <w:tc>
          <w:tcPr>
            <w:tcW w:w="1346" w:type="dxa"/>
            <w:tcBorders>
              <w:right w:val="single" w:sz="4" w:space="0" w:color="auto"/>
            </w:tcBorders>
            <w:noWrap/>
            <w:vAlign w:val="bottom"/>
            <w:hideMark/>
          </w:tcPr>
          <w:p w14:paraId="6BE4C9EE" w14:textId="1D4AF8AD"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12,6%</w:t>
            </w:r>
          </w:p>
        </w:tc>
        <w:tc>
          <w:tcPr>
            <w:tcW w:w="1347" w:type="dxa"/>
            <w:tcBorders>
              <w:left w:val="single" w:sz="4" w:space="0" w:color="auto"/>
              <w:right w:val="single" w:sz="4" w:space="0" w:color="auto"/>
            </w:tcBorders>
            <w:noWrap/>
            <w:vAlign w:val="bottom"/>
            <w:hideMark/>
          </w:tcPr>
          <w:p w14:paraId="43239AAF" w14:textId="151B16B9" w:rsidR="00931857" w:rsidRPr="003346FC"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eastAsia="sv-SE"/>
              </w:rPr>
            </w:pPr>
            <w:r>
              <w:rPr>
                <w:rFonts w:ascii="Calibri" w:hAnsi="Calibri" w:cs="Calibri"/>
                <w:color w:val="000000"/>
                <w:szCs w:val="22"/>
              </w:rPr>
              <w:t>10,0%</w:t>
            </w:r>
          </w:p>
        </w:tc>
        <w:tc>
          <w:tcPr>
            <w:tcW w:w="1346" w:type="dxa"/>
            <w:tcBorders>
              <w:left w:val="single" w:sz="4" w:space="0" w:color="auto"/>
            </w:tcBorders>
            <w:noWrap/>
            <w:vAlign w:val="bottom"/>
            <w:hideMark/>
          </w:tcPr>
          <w:p w14:paraId="47F202B7" w14:textId="76BC3216"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10,0%</w:t>
            </w:r>
          </w:p>
        </w:tc>
        <w:tc>
          <w:tcPr>
            <w:tcW w:w="1347" w:type="dxa"/>
            <w:noWrap/>
            <w:vAlign w:val="bottom"/>
            <w:hideMark/>
          </w:tcPr>
          <w:p w14:paraId="2A5F09D6" w14:textId="50ADD3AC"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10,0%</w:t>
            </w:r>
          </w:p>
        </w:tc>
      </w:tr>
      <w:tr w:rsidR="00931857" w:rsidRPr="00DF1A22" w14:paraId="2C9B4B5E" w14:textId="77777777" w:rsidTr="00931857">
        <w:trPr>
          <w:trHeight w:val="288"/>
        </w:trPr>
        <w:tc>
          <w:tcPr>
            <w:cnfStyle w:val="001000000000" w:firstRow="0" w:lastRow="0" w:firstColumn="1" w:lastColumn="0" w:oddVBand="0" w:evenVBand="0" w:oddHBand="0" w:evenHBand="0" w:firstRowFirstColumn="0" w:firstRowLastColumn="0" w:lastRowFirstColumn="0" w:lastRowLastColumn="0"/>
            <w:tcW w:w="3261" w:type="dxa"/>
            <w:noWrap/>
            <w:hideMark/>
          </w:tcPr>
          <w:p w14:paraId="49C4DF5F" w14:textId="77777777" w:rsidR="00931857" w:rsidRPr="00DF1A22" w:rsidRDefault="00931857" w:rsidP="00931857">
            <w:pPr>
              <w:keepNext/>
              <w:spacing w:after="0" w:line="240" w:lineRule="auto"/>
              <w:jc w:val="left"/>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Totala intäkter</w:t>
            </w:r>
          </w:p>
        </w:tc>
        <w:tc>
          <w:tcPr>
            <w:tcW w:w="1346" w:type="dxa"/>
            <w:tcBorders>
              <w:right w:val="single" w:sz="4" w:space="0" w:color="auto"/>
            </w:tcBorders>
            <w:noWrap/>
            <w:vAlign w:val="bottom"/>
            <w:hideMark/>
          </w:tcPr>
          <w:p w14:paraId="20BA16F5" w14:textId="51398942"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608</w:t>
            </w:r>
          </w:p>
        </w:tc>
        <w:tc>
          <w:tcPr>
            <w:tcW w:w="1347" w:type="dxa"/>
            <w:tcBorders>
              <w:left w:val="single" w:sz="4" w:space="0" w:color="auto"/>
              <w:right w:val="single" w:sz="4" w:space="0" w:color="auto"/>
            </w:tcBorders>
            <w:noWrap/>
            <w:vAlign w:val="bottom"/>
            <w:hideMark/>
          </w:tcPr>
          <w:p w14:paraId="1E0F6782" w14:textId="4C609FFB" w:rsidR="00931857" w:rsidRPr="003346FC"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Pr>
                <w:rFonts w:ascii="Calibri" w:hAnsi="Calibri" w:cs="Calibri"/>
                <w:color w:val="000000"/>
                <w:szCs w:val="22"/>
              </w:rPr>
              <w:t>763</w:t>
            </w:r>
          </w:p>
        </w:tc>
        <w:tc>
          <w:tcPr>
            <w:tcW w:w="1346" w:type="dxa"/>
            <w:tcBorders>
              <w:left w:val="single" w:sz="4" w:space="0" w:color="auto"/>
            </w:tcBorders>
            <w:noWrap/>
            <w:vAlign w:val="bottom"/>
            <w:hideMark/>
          </w:tcPr>
          <w:p w14:paraId="5002AA09" w14:textId="6A88D01D"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838</w:t>
            </w:r>
          </w:p>
        </w:tc>
        <w:tc>
          <w:tcPr>
            <w:tcW w:w="1347" w:type="dxa"/>
            <w:noWrap/>
            <w:vAlign w:val="bottom"/>
            <w:hideMark/>
          </w:tcPr>
          <w:p w14:paraId="114203DF" w14:textId="58456611"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927</w:t>
            </w:r>
          </w:p>
        </w:tc>
      </w:tr>
      <w:tr w:rsidR="00931857" w:rsidRPr="00DF1A22" w14:paraId="6C0CFE8D" w14:textId="77777777" w:rsidTr="009318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61" w:type="dxa"/>
            <w:noWrap/>
            <w:hideMark/>
          </w:tcPr>
          <w:p w14:paraId="5CA72851" w14:textId="77777777" w:rsidR="00931857" w:rsidRPr="00DF1A22" w:rsidRDefault="00931857" w:rsidP="00931857">
            <w:pPr>
              <w:keepNext/>
              <w:spacing w:after="0" w:line="240" w:lineRule="auto"/>
              <w:rPr>
                <w:rFonts w:ascii="Calibri" w:eastAsia="Times New Roman" w:hAnsi="Calibri" w:cs="Calibri"/>
                <w:color w:val="000000"/>
                <w:szCs w:val="22"/>
                <w:lang w:eastAsia="sv-SE"/>
              </w:rPr>
            </w:pPr>
            <w:r w:rsidRPr="00DF1A22">
              <w:rPr>
                <w:rFonts w:ascii="Calibri" w:eastAsia="Times New Roman" w:hAnsi="Calibri" w:cs="Calibri"/>
                <w:color w:val="000000"/>
                <w:szCs w:val="22"/>
                <w:lang w:eastAsia="sv-SE"/>
              </w:rPr>
              <w:t>varav taxeintäkter</w:t>
            </w:r>
          </w:p>
        </w:tc>
        <w:tc>
          <w:tcPr>
            <w:tcW w:w="1346" w:type="dxa"/>
            <w:tcBorders>
              <w:right w:val="single" w:sz="4" w:space="0" w:color="auto"/>
            </w:tcBorders>
            <w:noWrap/>
            <w:vAlign w:val="bottom"/>
            <w:hideMark/>
          </w:tcPr>
          <w:p w14:paraId="13C29D18" w14:textId="5FAE16F0"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589</w:t>
            </w:r>
          </w:p>
        </w:tc>
        <w:tc>
          <w:tcPr>
            <w:tcW w:w="1347" w:type="dxa"/>
            <w:tcBorders>
              <w:left w:val="single" w:sz="4" w:space="0" w:color="auto"/>
              <w:right w:val="single" w:sz="4" w:space="0" w:color="auto"/>
            </w:tcBorders>
            <w:noWrap/>
            <w:vAlign w:val="bottom"/>
            <w:hideMark/>
          </w:tcPr>
          <w:p w14:paraId="2C116A40" w14:textId="4FED1577" w:rsidR="00931857" w:rsidRPr="003346FC"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Cs w:val="22"/>
                <w:lang w:eastAsia="sv-SE"/>
              </w:rPr>
            </w:pPr>
            <w:r>
              <w:rPr>
                <w:rFonts w:ascii="Calibri" w:hAnsi="Calibri" w:cs="Calibri"/>
                <w:i/>
                <w:iCs/>
                <w:color w:val="000000"/>
                <w:szCs w:val="22"/>
              </w:rPr>
              <w:t>648</w:t>
            </w:r>
          </w:p>
        </w:tc>
        <w:tc>
          <w:tcPr>
            <w:tcW w:w="1346" w:type="dxa"/>
            <w:tcBorders>
              <w:left w:val="single" w:sz="4" w:space="0" w:color="auto"/>
            </w:tcBorders>
            <w:noWrap/>
            <w:vAlign w:val="bottom"/>
            <w:hideMark/>
          </w:tcPr>
          <w:p w14:paraId="3325EC7F" w14:textId="79E67C69"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713</w:t>
            </w:r>
          </w:p>
        </w:tc>
        <w:tc>
          <w:tcPr>
            <w:tcW w:w="1347" w:type="dxa"/>
            <w:noWrap/>
            <w:vAlign w:val="bottom"/>
            <w:hideMark/>
          </w:tcPr>
          <w:p w14:paraId="50EE9668" w14:textId="1D3D8157"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784</w:t>
            </w:r>
          </w:p>
        </w:tc>
      </w:tr>
      <w:tr w:rsidR="00931857" w:rsidRPr="00DF1A22" w14:paraId="66A0E376" w14:textId="77777777" w:rsidTr="00931857">
        <w:trPr>
          <w:trHeight w:val="288"/>
        </w:trPr>
        <w:tc>
          <w:tcPr>
            <w:cnfStyle w:val="001000000000" w:firstRow="0" w:lastRow="0" w:firstColumn="1" w:lastColumn="0" w:oddVBand="0" w:evenVBand="0" w:oddHBand="0" w:evenHBand="0" w:firstRowFirstColumn="0" w:firstRowLastColumn="0" w:lastRowFirstColumn="0" w:lastRowLastColumn="0"/>
            <w:tcW w:w="3261" w:type="dxa"/>
            <w:noWrap/>
            <w:hideMark/>
          </w:tcPr>
          <w:p w14:paraId="498E6135" w14:textId="77777777" w:rsidR="00931857" w:rsidRPr="00DF1A22" w:rsidRDefault="00931857" w:rsidP="00931857">
            <w:pPr>
              <w:keepNext/>
              <w:spacing w:after="0" w:line="240" w:lineRule="auto"/>
              <w:jc w:val="left"/>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Totala kostnader</w:t>
            </w:r>
          </w:p>
        </w:tc>
        <w:tc>
          <w:tcPr>
            <w:tcW w:w="1346" w:type="dxa"/>
            <w:tcBorders>
              <w:right w:val="single" w:sz="4" w:space="0" w:color="auto"/>
            </w:tcBorders>
            <w:noWrap/>
            <w:vAlign w:val="bottom"/>
            <w:hideMark/>
          </w:tcPr>
          <w:p w14:paraId="7633FD00" w14:textId="618ECE58"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-614</w:t>
            </w:r>
          </w:p>
        </w:tc>
        <w:tc>
          <w:tcPr>
            <w:tcW w:w="1347" w:type="dxa"/>
            <w:tcBorders>
              <w:left w:val="single" w:sz="4" w:space="0" w:color="auto"/>
              <w:right w:val="single" w:sz="4" w:space="0" w:color="auto"/>
            </w:tcBorders>
            <w:noWrap/>
            <w:vAlign w:val="bottom"/>
            <w:hideMark/>
          </w:tcPr>
          <w:p w14:paraId="437DE588" w14:textId="0B326E1B" w:rsidR="00931857" w:rsidRPr="003346FC"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Pr>
                <w:rFonts w:ascii="Calibri" w:hAnsi="Calibri" w:cs="Calibri"/>
                <w:color w:val="000000"/>
                <w:szCs w:val="22"/>
              </w:rPr>
              <w:t>-794</w:t>
            </w:r>
          </w:p>
        </w:tc>
        <w:tc>
          <w:tcPr>
            <w:tcW w:w="1346" w:type="dxa"/>
            <w:tcBorders>
              <w:left w:val="single" w:sz="4" w:space="0" w:color="auto"/>
            </w:tcBorders>
            <w:noWrap/>
            <w:vAlign w:val="bottom"/>
            <w:hideMark/>
          </w:tcPr>
          <w:p w14:paraId="4FDB680C" w14:textId="058ED519"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-831</w:t>
            </w:r>
          </w:p>
        </w:tc>
        <w:tc>
          <w:tcPr>
            <w:tcW w:w="1347" w:type="dxa"/>
            <w:noWrap/>
            <w:vAlign w:val="bottom"/>
            <w:hideMark/>
          </w:tcPr>
          <w:p w14:paraId="2F3385CD" w14:textId="1E08F421"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-914</w:t>
            </w:r>
          </w:p>
        </w:tc>
      </w:tr>
      <w:tr w:rsidR="00931857" w:rsidRPr="00DF1A22" w14:paraId="38F3BB5E" w14:textId="77777777" w:rsidTr="009318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61" w:type="dxa"/>
            <w:noWrap/>
            <w:hideMark/>
          </w:tcPr>
          <w:p w14:paraId="4543057A" w14:textId="77777777" w:rsidR="00931857" w:rsidRPr="00DF1A22" w:rsidRDefault="00931857" w:rsidP="00931857">
            <w:pPr>
              <w:keepNext/>
              <w:spacing w:after="0" w:line="240" w:lineRule="auto"/>
              <w:rPr>
                <w:rFonts w:ascii="Calibri" w:eastAsia="Times New Roman" w:hAnsi="Calibri" w:cs="Calibri"/>
                <w:color w:val="000000"/>
                <w:szCs w:val="22"/>
                <w:lang w:eastAsia="sv-SE"/>
              </w:rPr>
            </w:pPr>
            <w:r w:rsidRPr="00DF1A22">
              <w:rPr>
                <w:rFonts w:ascii="Calibri" w:eastAsia="Times New Roman" w:hAnsi="Calibri" w:cs="Calibri"/>
                <w:color w:val="000000"/>
                <w:szCs w:val="22"/>
                <w:lang w:eastAsia="sv-SE"/>
              </w:rPr>
              <w:t>varav huvudverksamhet</w:t>
            </w:r>
          </w:p>
        </w:tc>
        <w:tc>
          <w:tcPr>
            <w:tcW w:w="1346" w:type="dxa"/>
            <w:tcBorders>
              <w:right w:val="single" w:sz="4" w:space="0" w:color="auto"/>
            </w:tcBorders>
            <w:noWrap/>
            <w:vAlign w:val="bottom"/>
            <w:hideMark/>
          </w:tcPr>
          <w:p w14:paraId="3735EA78" w14:textId="4FCBE263"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-510</w:t>
            </w:r>
          </w:p>
        </w:tc>
        <w:tc>
          <w:tcPr>
            <w:tcW w:w="1347" w:type="dxa"/>
            <w:tcBorders>
              <w:left w:val="single" w:sz="4" w:space="0" w:color="auto"/>
              <w:right w:val="single" w:sz="4" w:space="0" w:color="auto"/>
            </w:tcBorders>
            <w:noWrap/>
            <w:vAlign w:val="bottom"/>
            <w:hideMark/>
          </w:tcPr>
          <w:p w14:paraId="2A70CC92" w14:textId="5E0B3403" w:rsidR="00931857" w:rsidRPr="003346FC"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Cs w:val="22"/>
                <w:lang w:eastAsia="sv-SE"/>
              </w:rPr>
            </w:pPr>
            <w:r>
              <w:rPr>
                <w:rFonts w:ascii="Calibri" w:hAnsi="Calibri" w:cs="Calibri"/>
                <w:i/>
                <w:iCs/>
                <w:color w:val="000000"/>
                <w:szCs w:val="22"/>
              </w:rPr>
              <w:t>-658</w:t>
            </w:r>
          </w:p>
        </w:tc>
        <w:tc>
          <w:tcPr>
            <w:tcW w:w="1346" w:type="dxa"/>
            <w:tcBorders>
              <w:left w:val="single" w:sz="4" w:space="0" w:color="auto"/>
            </w:tcBorders>
            <w:noWrap/>
            <w:vAlign w:val="bottom"/>
            <w:hideMark/>
          </w:tcPr>
          <w:p w14:paraId="4464C1C0" w14:textId="51714124"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-692</w:t>
            </w:r>
          </w:p>
        </w:tc>
        <w:tc>
          <w:tcPr>
            <w:tcW w:w="1347" w:type="dxa"/>
            <w:noWrap/>
            <w:vAlign w:val="bottom"/>
            <w:hideMark/>
          </w:tcPr>
          <w:p w14:paraId="6869ABE1" w14:textId="331EA15B"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-734</w:t>
            </w:r>
          </w:p>
        </w:tc>
      </w:tr>
      <w:tr w:rsidR="00931857" w:rsidRPr="00DF1A22" w14:paraId="26F3ED25" w14:textId="77777777" w:rsidTr="00931857">
        <w:trPr>
          <w:trHeight w:val="288"/>
        </w:trPr>
        <w:tc>
          <w:tcPr>
            <w:cnfStyle w:val="001000000000" w:firstRow="0" w:lastRow="0" w:firstColumn="1" w:lastColumn="0" w:oddVBand="0" w:evenVBand="0" w:oddHBand="0" w:evenHBand="0" w:firstRowFirstColumn="0" w:firstRowLastColumn="0" w:lastRowFirstColumn="0" w:lastRowLastColumn="0"/>
            <w:tcW w:w="3261" w:type="dxa"/>
            <w:noWrap/>
            <w:hideMark/>
          </w:tcPr>
          <w:p w14:paraId="7967DCD0" w14:textId="19B2E728" w:rsidR="00931857" w:rsidRPr="00DF1A22" w:rsidRDefault="00931857" w:rsidP="00931857">
            <w:pPr>
              <w:keepNext/>
              <w:spacing w:after="0" w:line="240" w:lineRule="auto"/>
              <w:jc w:val="left"/>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 xml:space="preserve">Förändring av skuld till </w:t>
            </w:r>
            <w:r>
              <w:rPr>
                <w:rFonts w:ascii="Calibri" w:eastAsia="Times New Roman" w:hAnsi="Calibri" w:cs="Calibri"/>
                <w:b/>
                <w:bCs/>
                <w:color w:val="000000"/>
                <w:szCs w:val="22"/>
                <w:lang w:eastAsia="sv-SE"/>
              </w:rPr>
              <w:t xml:space="preserve">abonnent </w:t>
            </w:r>
            <w:r w:rsidRPr="00DF1A22">
              <w:rPr>
                <w:rFonts w:ascii="Calibri" w:eastAsia="Times New Roman" w:hAnsi="Calibri" w:cs="Calibri"/>
                <w:b/>
                <w:bCs/>
                <w:color w:val="000000"/>
                <w:szCs w:val="22"/>
                <w:lang w:eastAsia="sv-SE"/>
              </w:rPr>
              <w:t>(resultat)</w:t>
            </w:r>
          </w:p>
        </w:tc>
        <w:tc>
          <w:tcPr>
            <w:tcW w:w="1346" w:type="dxa"/>
            <w:tcBorders>
              <w:right w:val="single" w:sz="4" w:space="0" w:color="auto"/>
            </w:tcBorders>
            <w:noWrap/>
            <w:vAlign w:val="bottom"/>
            <w:hideMark/>
          </w:tcPr>
          <w:p w14:paraId="208F0556" w14:textId="3F879C18"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-7</w:t>
            </w:r>
          </w:p>
        </w:tc>
        <w:tc>
          <w:tcPr>
            <w:tcW w:w="1347" w:type="dxa"/>
            <w:tcBorders>
              <w:left w:val="single" w:sz="4" w:space="0" w:color="auto"/>
              <w:right w:val="single" w:sz="4" w:space="0" w:color="auto"/>
            </w:tcBorders>
            <w:noWrap/>
            <w:vAlign w:val="bottom"/>
            <w:hideMark/>
          </w:tcPr>
          <w:p w14:paraId="29CC6BC4" w14:textId="42825E95" w:rsidR="00931857" w:rsidRPr="003346FC"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Pr>
                <w:rFonts w:ascii="Calibri" w:hAnsi="Calibri" w:cs="Calibri"/>
                <w:color w:val="000000"/>
                <w:szCs w:val="22"/>
              </w:rPr>
              <w:t>-31</w:t>
            </w:r>
          </w:p>
        </w:tc>
        <w:tc>
          <w:tcPr>
            <w:tcW w:w="1346" w:type="dxa"/>
            <w:tcBorders>
              <w:left w:val="single" w:sz="4" w:space="0" w:color="auto"/>
            </w:tcBorders>
            <w:noWrap/>
            <w:vAlign w:val="bottom"/>
            <w:hideMark/>
          </w:tcPr>
          <w:p w14:paraId="224F0889" w14:textId="47CE1542"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7</w:t>
            </w:r>
          </w:p>
        </w:tc>
        <w:tc>
          <w:tcPr>
            <w:tcW w:w="1347" w:type="dxa"/>
            <w:noWrap/>
            <w:vAlign w:val="bottom"/>
            <w:hideMark/>
          </w:tcPr>
          <w:p w14:paraId="4D072A70" w14:textId="05CED274"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13</w:t>
            </w:r>
          </w:p>
        </w:tc>
      </w:tr>
      <w:tr w:rsidR="00931857" w:rsidRPr="00DF1A22" w14:paraId="3BC75B31" w14:textId="77777777" w:rsidTr="009318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61" w:type="dxa"/>
            <w:noWrap/>
            <w:hideMark/>
          </w:tcPr>
          <w:p w14:paraId="76DD71D7" w14:textId="54DFB465" w:rsidR="00931857" w:rsidRPr="00DF1A22" w:rsidRDefault="00931857" w:rsidP="00931857">
            <w:pPr>
              <w:spacing w:after="0" w:line="240" w:lineRule="auto"/>
              <w:jc w:val="left"/>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 xml:space="preserve">Skuld/fordran mot </w:t>
            </w:r>
            <w:r>
              <w:rPr>
                <w:rFonts w:ascii="Calibri" w:eastAsia="Times New Roman" w:hAnsi="Calibri" w:cs="Calibri"/>
                <w:b/>
                <w:bCs/>
                <w:color w:val="000000"/>
                <w:szCs w:val="22"/>
                <w:lang w:eastAsia="sv-SE"/>
              </w:rPr>
              <w:t>abonnent</w:t>
            </w:r>
          </w:p>
        </w:tc>
        <w:tc>
          <w:tcPr>
            <w:tcW w:w="1346" w:type="dxa"/>
            <w:tcBorders>
              <w:right w:val="single" w:sz="4" w:space="0" w:color="auto"/>
            </w:tcBorders>
            <w:noWrap/>
            <w:vAlign w:val="bottom"/>
            <w:hideMark/>
          </w:tcPr>
          <w:p w14:paraId="2865374C" w14:textId="593B71FA" w:rsidR="00931857" w:rsidRPr="00DF1A22" w:rsidRDefault="00931857" w:rsidP="0093185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8</w:t>
            </w:r>
          </w:p>
        </w:tc>
        <w:tc>
          <w:tcPr>
            <w:tcW w:w="1347" w:type="dxa"/>
            <w:tcBorders>
              <w:left w:val="single" w:sz="4" w:space="0" w:color="auto"/>
              <w:bottom w:val="single" w:sz="4" w:space="0" w:color="auto"/>
              <w:right w:val="single" w:sz="4" w:space="0" w:color="auto"/>
            </w:tcBorders>
            <w:noWrap/>
            <w:vAlign w:val="bottom"/>
            <w:hideMark/>
          </w:tcPr>
          <w:p w14:paraId="4E07318E" w14:textId="368E00BF" w:rsidR="00931857" w:rsidRPr="003346FC" w:rsidRDefault="00931857" w:rsidP="0093185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eastAsia="sv-SE"/>
              </w:rPr>
            </w:pPr>
            <w:r>
              <w:rPr>
                <w:rFonts w:ascii="Calibri" w:hAnsi="Calibri" w:cs="Calibri"/>
                <w:color w:val="000000"/>
                <w:szCs w:val="22"/>
              </w:rPr>
              <w:t>-22</w:t>
            </w:r>
          </w:p>
        </w:tc>
        <w:tc>
          <w:tcPr>
            <w:tcW w:w="1346" w:type="dxa"/>
            <w:tcBorders>
              <w:left w:val="single" w:sz="4" w:space="0" w:color="auto"/>
            </w:tcBorders>
            <w:noWrap/>
            <w:vAlign w:val="bottom"/>
            <w:hideMark/>
          </w:tcPr>
          <w:p w14:paraId="0504F15A" w14:textId="4C2A5CC9" w:rsidR="00931857" w:rsidRPr="00DF1A22" w:rsidRDefault="00931857" w:rsidP="0093185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-15</w:t>
            </w:r>
          </w:p>
        </w:tc>
        <w:tc>
          <w:tcPr>
            <w:tcW w:w="1347" w:type="dxa"/>
            <w:noWrap/>
            <w:vAlign w:val="bottom"/>
            <w:hideMark/>
          </w:tcPr>
          <w:p w14:paraId="29ABB83A" w14:textId="12CDBD4B" w:rsidR="00931857" w:rsidRPr="00DF1A22" w:rsidRDefault="00931857" w:rsidP="0093185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-2</w:t>
            </w:r>
          </w:p>
        </w:tc>
      </w:tr>
    </w:tbl>
    <w:p w14:paraId="3EF5038E" w14:textId="7408BD58" w:rsidR="00DF1A22" w:rsidRDefault="00DF1A22" w:rsidP="001F0164">
      <w:pPr>
        <w:spacing w:after="120"/>
        <w:rPr>
          <w:sz w:val="24"/>
          <w:szCs w:val="28"/>
          <w:lang w:eastAsia="sv-SE"/>
        </w:rPr>
      </w:pPr>
    </w:p>
    <w:p w14:paraId="2D927D08" w14:textId="65327AC3" w:rsidR="003A59AE" w:rsidRDefault="003A59AE" w:rsidP="00132CB6">
      <w:pPr>
        <w:pStyle w:val="Rubrik4"/>
        <w:rPr>
          <w:lang w:eastAsia="sv-SE"/>
        </w:rPr>
      </w:pPr>
      <w:r>
        <w:rPr>
          <w:lang w:eastAsia="sv-SE"/>
        </w:rPr>
        <w:t xml:space="preserve">Alternativ </w:t>
      </w:r>
      <w:r w:rsidR="0010722B">
        <w:rPr>
          <w:lang w:eastAsia="sv-SE"/>
        </w:rPr>
        <w:t xml:space="preserve">inom den nominerade nivån med </w:t>
      </w:r>
      <w:r w:rsidR="00931857">
        <w:rPr>
          <w:lang w:eastAsia="sv-SE"/>
        </w:rPr>
        <w:t>10,3 procents avgiftshöjning</w:t>
      </w:r>
    </w:p>
    <w:p w14:paraId="1FD3E45E" w14:textId="2A1EDBD4" w:rsidR="00132CB6" w:rsidRDefault="00931857" w:rsidP="00132CB6">
      <w:pPr>
        <w:spacing w:after="120"/>
        <w:rPr>
          <w:sz w:val="24"/>
          <w:szCs w:val="28"/>
          <w:lang w:eastAsia="sv-SE"/>
        </w:rPr>
      </w:pPr>
      <w:r>
        <w:rPr>
          <w:sz w:val="24"/>
          <w:szCs w:val="28"/>
          <w:lang w:eastAsia="sv-SE"/>
        </w:rPr>
        <w:t>Ett alternativ inom den nominerade nivån på 7,5 procents intäktsökning har tagits fram</w:t>
      </w:r>
      <w:r w:rsidR="00132CB6" w:rsidRPr="00DF1A22">
        <w:rPr>
          <w:sz w:val="24"/>
          <w:szCs w:val="28"/>
          <w:lang w:eastAsia="sv-SE"/>
        </w:rPr>
        <w:t>.</w:t>
      </w:r>
      <w:r>
        <w:rPr>
          <w:sz w:val="24"/>
          <w:szCs w:val="28"/>
          <w:lang w:eastAsia="sv-SE"/>
        </w:rPr>
        <w:t xml:space="preserve"> </w:t>
      </w:r>
      <w:r w:rsidR="00132CB6" w:rsidRPr="00DF1A22">
        <w:rPr>
          <w:sz w:val="24"/>
          <w:szCs w:val="28"/>
          <w:lang w:eastAsia="sv-SE"/>
        </w:rPr>
        <w:t xml:space="preserve">En höjning </w:t>
      </w:r>
      <w:r>
        <w:rPr>
          <w:sz w:val="24"/>
          <w:szCs w:val="28"/>
          <w:lang w:eastAsia="sv-SE"/>
        </w:rPr>
        <w:t xml:space="preserve">av intäkten med 7,5 procent </w:t>
      </w:r>
      <w:r w:rsidR="00132CB6" w:rsidRPr="00DF1A22">
        <w:rPr>
          <w:sz w:val="24"/>
          <w:szCs w:val="28"/>
          <w:lang w:eastAsia="sv-SE"/>
        </w:rPr>
        <w:t xml:space="preserve">ger en fordran på abonnenterna </w:t>
      </w:r>
      <w:r w:rsidR="00132CB6">
        <w:rPr>
          <w:sz w:val="24"/>
          <w:szCs w:val="28"/>
          <w:lang w:eastAsia="sv-SE"/>
        </w:rPr>
        <w:t xml:space="preserve">på </w:t>
      </w:r>
      <w:r>
        <w:rPr>
          <w:sz w:val="24"/>
          <w:szCs w:val="28"/>
          <w:lang w:eastAsia="sv-SE"/>
        </w:rPr>
        <w:t>37 miljoner kronor</w:t>
      </w:r>
      <w:r w:rsidR="00132CB6">
        <w:rPr>
          <w:sz w:val="24"/>
          <w:szCs w:val="28"/>
          <w:lang w:eastAsia="sv-SE"/>
        </w:rPr>
        <w:t xml:space="preserve"> </w:t>
      </w:r>
      <w:r>
        <w:rPr>
          <w:sz w:val="24"/>
          <w:szCs w:val="28"/>
          <w:lang w:eastAsia="sv-SE"/>
        </w:rPr>
        <w:t xml:space="preserve">vid 2024 års utgång, </w:t>
      </w:r>
      <w:r w:rsidR="00132CB6" w:rsidRPr="00DF1A22">
        <w:rPr>
          <w:sz w:val="24"/>
          <w:szCs w:val="28"/>
          <w:lang w:eastAsia="sv-SE"/>
        </w:rPr>
        <w:t>som behöver återställas inom tre år</w:t>
      </w:r>
      <w:r>
        <w:rPr>
          <w:sz w:val="24"/>
          <w:szCs w:val="28"/>
          <w:lang w:eastAsia="sv-SE"/>
        </w:rPr>
        <w:t xml:space="preserve">. </w:t>
      </w:r>
      <w:r w:rsidR="00132CB6">
        <w:rPr>
          <w:sz w:val="24"/>
          <w:szCs w:val="28"/>
          <w:lang w:eastAsia="sv-SE"/>
        </w:rPr>
        <w:t xml:space="preserve">Bedömningen är att det krävs </w:t>
      </w:r>
      <w:r>
        <w:rPr>
          <w:sz w:val="24"/>
          <w:szCs w:val="28"/>
          <w:lang w:eastAsia="sv-SE"/>
        </w:rPr>
        <w:t>tolv</w:t>
      </w:r>
      <w:r w:rsidR="00132CB6">
        <w:rPr>
          <w:sz w:val="24"/>
          <w:szCs w:val="28"/>
          <w:lang w:eastAsia="sv-SE"/>
        </w:rPr>
        <w:t xml:space="preserve">procentiga intäktsökningar </w:t>
      </w:r>
      <w:r>
        <w:rPr>
          <w:sz w:val="24"/>
          <w:szCs w:val="28"/>
          <w:lang w:eastAsia="sv-SE"/>
        </w:rPr>
        <w:t xml:space="preserve">under </w:t>
      </w:r>
      <w:r w:rsidR="00132CB6">
        <w:rPr>
          <w:sz w:val="24"/>
          <w:szCs w:val="28"/>
          <w:lang w:eastAsia="sv-SE"/>
        </w:rPr>
        <w:t>2025 och 2026 för att återställa fordran på abonnenterna till 2027</w:t>
      </w:r>
      <w:r>
        <w:rPr>
          <w:sz w:val="24"/>
          <w:szCs w:val="28"/>
          <w:lang w:eastAsia="sv-SE"/>
        </w:rPr>
        <w:t xml:space="preserve"> med en höjning på drygt sju procent</w:t>
      </w:r>
      <w:r w:rsidR="00132CB6">
        <w:rPr>
          <w:sz w:val="24"/>
          <w:szCs w:val="28"/>
          <w:lang w:eastAsia="sv-SE"/>
        </w:rPr>
        <w:t>.</w:t>
      </w:r>
      <w:r>
        <w:rPr>
          <w:sz w:val="24"/>
          <w:szCs w:val="28"/>
          <w:lang w:eastAsia="sv-SE"/>
        </w:rPr>
        <w:t xml:space="preserve"> </w:t>
      </w:r>
      <w:r w:rsidR="00132CB6">
        <w:rPr>
          <w:sz w:val="24"/>
          <w:szCs w:val="28"/>
          <w:lang w:eastAsia="sv-SE"/>
        </w:rPr>
        <w:t xml:space="preserve">För att ge en taxeintäktsökning på </w:t>
      </w:r>
      <w:r>
        <w:rPr>
          <w:sz w:val="24"/>
          <w:szCs w:val="28"/>
          <w:lang w:eastAsia="sv-SE"/>
        </w:rPr>
        <w:t>7,5</w:t>
      </w:r>
      <w:r w:rsidR="00132CB6">
        <w:rPr>
          <w:sz w:val="24"/>
          <w:szCs w:val="28"/>
          <w:lang w:eastAsia="sv-SE"/>
        </w:rPr>
        <w:t xml:space="preserve"> procent till 2024 krävs prishöjningar på i genomsnitt </w:t>
      </w:r>
      <w:r>
        <w:rPr>
          <w:sz w:val="24"/>
          <w:szCs w:val="28"/>
          <w:lang w:eastAsia="sv-SE"/>
        </w:rPr>
        <w:t>10,3</w:t>
      </w:r>
      <w:r w:rsidR="00132CB6">
        <w:rPr>
          <w:sz w:val="24"/>
          <w:szCs w:val="28"/>
          <w:lang w:eastAsia="sv-SE"/>
        </w:rPr>
        <w:t xml:space="preserve"> procent för att kompensera bortfallet av intäkter för blandat avfall och minskande avfallsvikter. </w:t>
      </w:r>
      <w:r w:rsidR="003916F9">
        <w:rPr>
          <w:sz w:val="24"/>
          <w:szCs w:val="28"/>
          <w:lang w:eastAsia="sv-SE"/>
        </w:rPr>
        <w:t xml:space="preserve">Samma osäkerheter om kommande kostnader som beskrivs ovan för det förordade alternativet gäller även för detta alternativ. </w:t>
      </w:r>
    </w:p>
    <w:tbl>
      <w:tblPr>
        <w:tblStyle w:val="Listtabell7frgstarkdekorfrg1"/>
        <w:tblW w:w="8647" w:type="dxa"/>
        <w:tblLayout w:type="fixed"/>
        <w:tblLook w:val="04A0" w:firstRow="1" w:lastRow="0" w:firstColumn="1" w:lastColumn="0" w:noHBand="0" w:noVBand="1"/>
      </w:tblPr>
      <w:tblGrid>
        <w:gridCol w:w="2977"/>
        <w:gridCol w:w="1417"/>
        <w:gridCol w:w="1418"/>
        <w:gridCol w:w="1417"/>
        <w:gridCol w:w="1418"/>
      </w:tblGrid>
      <w:tr w:rsidR="00931857" w:rsidRPr="00DF1A22" w14:paraId="252B898D" w14:textId="77777777" w:rsidTr="00B43C21">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2977" w:type="dxa"/>
            <w:noWrap/>
            <w:hideMark/>
          </w:tcPr>
          <w:p w14:paraId="3A16A103" w14:textId="353EB12A" w:rsidR="00931857" w:rsidRPr="00DF1A22" w:rsidRDefault="00931857" w:rsidP="00931857">
            <w:pPr>
              <w:keepNext/>
              <w:spacing w:after="0" w:line="240" w:lineRule="auto"/>
              <w:jc w:val="left"/>
              <w:rPr>
                <w:rFonts w:ascii="Times New Roman" w:eastAsia="Times New Roman" w:hAnsi="Times New Roman" w:cs="Times New Roman"/>
                <w:sz w:val="20"/>
                <w:lang w:eastAsia="sv-SE"/>
              </w:rPr>
            </w:pPr>
            <w:r>
              <w:rPr>
                <w:rFonts w:ascii="Times New Roman" w:eastAsia="Times New Roman" w:hAnsi="Times New Roman" w:cs="Times New Roman"/>
                <w:sz w:val="20"/>
                <w:lang w:eastAsia="sv-SE"/>
              </w:rPr>
              <w:t>miljoner kronor</w:t>
            </w:r>
          </w:p>
        </w:tc>
        <w:tc>
          <w:tcPr>
            <w:tcW w:w="1417" w:type="dxa"/>
            <w:tcBorders>
              <w:right w:val="single" w:sz="4" w:space="0" w:color="auto"/>
            </w:tcBorders>
            <w:noWrap/>
            <w:hideMark/>
          </w:tcPr>
          <w:p w14:paraId="112BB82D" w14:textId="77777777" w:rsidR="00931857" w:rsidRPr="00DF1A22" w:rsidRDefault="00931857" w:rsidP="00931857">
            <w:pPr>
              <w:keepNext/>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2023</w:t>
            </w:r>
          </w:p>
        </w:tc>
        <w:tc>
          <w:tcPr>
            <w:tcW w:w="1418" w:type="dxa"/>
            <w:tcBorders>
              <w:top w:val="single" w:sz="4" w:space="0" w:color="auto"/>
              <w:left w:val="single" w:sz="4" w:space="0" w:color="auto"/>
              <w:right w:val="single" w:sz="4" w:space="0" w:color="auto"/>
            </w:tcBorders>
            <w:noWrap/>
            <w:hideMark/>
          </w:tcPr>
          <w:p w14:paraId="55453FC8" w14:textId="77777777" w:rsidR="00931857" w:rsidRPr="00DF1A22" w:rsidRDefault="00931857" w:rsidP="00931857">
            <w:pPr>
              <w:keepNext/>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2024</w:t>
            </w:r>
          </w:p>
        </w:tc>
        <w:tc>
          <w:tcPr>
            <w:tcW w:w="1417" w:type="dxa"/>
            <w:tcBorders>
              <w:left w:val="single" w:sz="4" w:space="0" w:color="auto"/>
            </w:tcBorders>
            <w:noWrap/>
            <w:hideMark/>
          </w:tcPr>
          <w:p w14:paraId="5CACC6A7" w14:textId="77777777" w:rsidR="00931857" w:rsidRPr="00DF1A22" w:rsidRDefault="00931857" w:rsidP="00931857">
            <w:pPr>
              <w:keepNext/>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2025</w:t>
            </w:r>
          </w:p>
        </w:tc>
        <w:tc>
          <w:tcPr>
            <w:tcW w:w="1418" w:type="dxa"/>
            <w:noWrap/>
            <w:hideMark/>
          </w:tcPr>
          <w:p w14:paraId="6B4DDD31" w14:textId="77777777" w:rsidR="00931857" w:rsidRPr="00DF1A22" w:rsidRDefault="00931857" w:rsidP="00931857">
            <w:pPr>
              <w:keepNext/>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2026</w:t>
            </w:r>
          </w:p>
        </w:tc>
      </w:tr>
      <w:tr w:rsidR="00931857" w:rsidRPr="00DF1A22" w14:paraId="45D926D0" w14:textId="77777777" w:rsidTr="00B43C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248BDAB" w14:textId="77777777" w:rsidR="00931857" w:rsidRPr="00DF1A22" w:rsidRDefault="00931857" w:rsidP="00931857">
            <w:pPr>
              <w:keepNext/>
              <w:spacing w:after="0" w:line="240" w:lineRule="auto"/>
              <w:jc w:val="left"/>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Taxe</w:t>
            </w:r>
            <w:r>
              <w:rPr>
                <w:rFonts w:ascii="Calibri" w:eastAsia="Times New Roman" w:hAnsi="Calibri" w:cs="Calibri"/>
                <w:b/>
                <w:bCs/>
                <w:color w:val="000000"/>
                <w:szCs w:val="22"/>
                <w:lang w:eastAsia="sv-SE"/>
              </w:rPr>
              <w:t>intäkts</w:t>
            </w:r>
            <w:r w:rsidRPr="00DF1A22">
              <w:rPr>
                <w:rFonts w:ascii="Calibri" w:eastAsia="Times New Roman" w:hAnsi="Calibri" w:cs="Calibri"/>
                <w:b/>
                <w:bCs/>
                <w:color w:val="000000"/>
                <w:szCs w:val="22"/>
                <w:lang w:eastAsia="sv-SE"/>
              </w:rPr>
              <w:t>förändring</w:t>
            </w:r>
          </w:p>
        </w:tc>
        <w:tc>
          <w:tcPr>
            <w:tcW w:w="1417" w:type="dxa"/>
            <w:tcBorders>
              <w:right w:val="single" w:sz="4" w:space="0" w:color="auto"/>
            </w:tcBorders>
            <w:noWrap/>
            <w:hideMark/>
          </w:tcPr>
          <w:p w14:paraId="0BA0FBA0" w14:textId="69A13623"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12,6%</w:t>
            </w:r>
          </w:p>
        </w:tc>
        <w:tc>
          <w:tcPr>
            <w:tcW w:w="1418" w:type="dxa"/>
            <w:tcBorders>
              <w:left w:val="single" w:sz="4" w:space="0" w:color="auto"/>
              <w:right w:val="single" w:sz="4" w:space="0" w:color="auto"/>
            </w:tcBorders>
            <w:noWrap/>
            <w:hideMark/>
          </w:tcPr>
          <w:p w14:paraId="39E1ECF0" w14:textId="62456E42" w:rsidR="00931857" w:rsidRPr="00931857"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eastAsia="sv-SE"/>
              </w:rPr>
            </w:pPr>
            <w:r>
              <w:rPr>
                <w:rFonts w:ascii="Calibri" w:hAnsi="Calibri" w:cs="Calibri"/>
                <w:color w:val="000000"/>
                <w:szCs w:val="22"/>
              </w:rPr>
              <w:t>7,5%</w:t>
            </w:r>
          </w:p>
        </w:tc>
        <w:tc>
          <w:tcPr>
            <w:tcW w:w="1417" w:type="dxa"/>
            <w:tcBorders>
              <w:left w:val="single" w:sz="4" w:space="0" w:color="auto"/>
            </w:tcBorders>
            <w:noWrap/>
            <w:hideMark/>
          </w:tcPr>
          <w:p w14:paraId="2B4B756D" w14:textId="54970CA6"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12,0%</w:t>
            </w:r>
          </w:p>
        </w:tc>
        <w:tc>
          <w:tcPr>
            <w:tcW w:w="1418" w:type="dxa"/>
            <w:noWrap/>
            <w:hideMark/>
          </w:tcPr>
          <w:p w14:paraId="08E49FF5" w14:textId="76E817CE"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12,0%</w:t>
            </w:r>
          </w:p>
        </w:tc>
      </w:tr>
      <w:tr w:rsidR="00931857" w:rsidRPr="00DF1A22" w14:paraId="5121F3AD" w14:textId="77777777" w:rsidTr="00B43C21">
        <w:trPr>
          <w:trHeight w:val="288"/>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6B2C4DE" w14:textId="77777777" w:rsidR="00931857" w:rsidRPr="00DF1A22" w:rsidRDefault="00931857" w:rsidP="00931857">
            <w:pPr>
              <w:keepNext/>
              <w:spacing w:after="0" w:line="240" w:lineRule="auto"/>
              <w:jc w:val="left"/>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Totala intäkter</w:t>
            </w:r>
          </w:p>
        </w:tc>
        <w:tc>
          <w:tcPr>
            <w:tcW w:w="1417" w:type="dxa"/>
            <w:tcBorders>
              <w:right w:val="single" w:sz="4" w:space="0" w:color="auto"/>
            </w:tcBorders>
            <w:noWrap/>
            <w:hideMark/>
          </w:tcPr>
          <w:p w14:paraId="0337412F" w14:textId="595C19D4"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608</w:t>
            </w:r>
          </w:p>
        </w:tc>
        <w:tc>
          <w:tcPr>
            <w:tcW w:w="1418" w:type="dxa"/>
            <w:tcBorders>
              <w:left w:val="single" w:sz="4" w:space="0" w:color="auto"/>
              <w:right w:val="single" w:sz="4" w:space="0" w:color="auto"/>
            </w:tcBorders>
            <w:noWrap/>
            <w:hideMark/>
          </w:tcPr>
          <w:p w14:paraId="79CC54F4" w14:textId="683CCE7F" w:rsidR="00931857" w:rsidRPr="00931857"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Pr>
                <w:rFonts w:ascii="Calibri" w:hAnsi="Calibri" w:cs="Calibri"/>
                <w:color w:val="000000"/>
                <w:szCs w:val="22"/>
              </w:rPr>
              <w:t>749</w:t>
            </w:r>
          </w:p>
        </w:tc>
        <w:tc>
          <w:tcPr>
            <w:tcW w:w="1417" w:type="dxa"/>
            <w:tcBorders>
              <w:left w:val="single" w:sz="4" w:space="0" w:color="auto"/>
            </w:tcBorders>
            <w:noWrap/>
            <w:hideMark/>
          </w:tcPr>
          <w:p w14:paraId="2EE40D47" w14:textId="22118030"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834</w:t>
            </w:r>
          </w:p>
        </w:tc>
        <w:tc>
          <w:tcPr>
            <w:tcW w:w="1418" w:type="dxa"/>
            <w:noWrap/>
            <w:hideMark/>
          </w:tcPr>
          <w:p w14:paraId="7DDE3847" w14:textId="14508AB6"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937</w:t>
            </w:r>
          </w:p>
        </w:tc>
      </w:tr>
      <w:tr w:rsidR="00931857" w:rsidRPr="00DF1A22" w14:paraId="765F8300" w14:textId="77777777" w:rsidTr="00B43C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E8E25AB" w14:textId="77777777" w:rsidR="00931857" w:rsidRPr="00DF1A22" w:rsidRDefault="00931857" w:rsidP="00931857">
            <w:pPr>
              <w:keepNext/>
              <w:spacing w:after="0" w:line="240" w:lineRule="auto"/>
              <w:rPr>
                <w:rFonts w:ascii="Calibri" w:eastAsia="Times New Roman" w:hAnsi="Calibri" w:cs="Calibri"/>
                <w:color w:val="000000"/>
                <w:szCs w:val="22"/>
                <w:lang w:eastAsia="sv-SE"/>
              </w:rPr>
            </w:pPr>
            <w:r w:rsidRPr="00DF1A22">
              <w:rPr>
                <w:rFonts w:ascii="Calibri" w:eastAsia="Times New Roman" w:hAnsi="Calibri" w:cs="Calibri"/>
                <w:color w:val="000000"/>
                <w:szCs w:val="22"/>
                <w:lang w:eastAsia="sv-SE"/>
              </w:rPr>
              <w:t>varav taxeintäkter</w:t>
            </w:r>
          </w:p>
        </w:tc>
        <w:tc>
          <w:tcPr>
            <w:tcW w:w="1417" w:type="dxa"/>
            <w:tcBorders>
              <w:right w:val="single" w:sz="4" w:space="0" w:color="auto"/>
            </w:tcBorders>
            <w:noWrap/>
            <w:hideMark/>
          </w:tcPr>
          <w:p w14:paraId="4E47C139" w14:textId="4969891C"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589</w:t>
            </w:r>
          </w:p>
        </w:tc>
        <w:tc>
          <w:tcPr>
            <w:tcW w:w="1418" w:type="dxa"/>
            <w:tcBorders>
              <w:left w:val="single" w:sz="4" w:space="0" w:color="auto"/>
              <w:right w:val="single" w:sz="4" w:space="0" w:color="auto"/>
            </w:tcBorders>
            <w:noWrap/>
            <w:hideMark/>
          </w:tcPr>
          <w:p w14:paraId="31CC9913" w14:textId="3F7515D4" w:rsidR="00931857" w:rsidRPr="00931857"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Cs w:val="22"/>
                <w:lang w:eastAsia="sv-SE"/>
              </w:rPr>
            </w:pPr>
            <w:r>
              <w:rPr>
                <w:rFonts w:ascii="Calibri" w:hAnsi="Calibri" w:cs="Calibri"/>
                <w:i/>
                <w:iCs/>
                <w:color w:val="000000"/>
                <w:szCs w:val="22"/>
              </w:rPr>
              <w:t>633</w:t>
            </w:r>
          </w:p>
        </w:tc>
        <w:tc>
          <w:tcPr>
            <w:tcW w:w="1417" w:type="dxa"/>
            <w:tcBorders>
              <w:left w:val="single" w:sz="4" w:space="0" w:color="auto"/>
            </w:tcBorders>
            <w:noWrap/>
            <w:hideMark/>
          </w:tcPr>
          <w:p w14:paraId="111940ED" w14:textId="070F1434"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709</w:t>
            </w:r>
          </w:p>
        </w:tc>
        <w:tc>
          <w:tcPr>
            <w:tcW w:w="1418" w:type="dxa"/>
            <w:noWrap/>
            <w:hideMark/>
          </w:tcPr>
          <w:p w14:paraId="10DC8178" w14:textId="127FBCFB"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794</w:t>
            </w:r>
          </w:p>
        </w:tc>
      </w:tr>
      <w:tr w:rsidR="00931857" w:rsidRPr="00DF1A22" w14:paraId="54225AAF" w14:textId="77777777" w:rsidTr="00B43C21">
        <w:trPr>
          <w:trHeight w:val="288"/>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9318FDC" w14:textId="77777777" w:rsidR="00931857" w:rsidRPr="00DF1A22" w:rsidRDefault="00931857" w:rsidP="00931857">
            <w:pPr>
              <w:keepNext/>
              <w:spacing w:after="0" w:line="240" w:lineRule="auto"/>
              <w:jc w:val="left"/>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Totala kostnader</w:t>
            </w:r>
          </w:p>
        </w:tc>
        <w:tc>
          <w:tcPr>
            <w:tcW w:w="1417" w:type="dxa"/>
            <w:tcBorders>
              <w:right w:val="single" w:sz="4" w:space="0" w:color="auto"/>
            </w:tcBorders>
            <w:noWrap/>
            <w:hideMark/>
          </w:tcPr>
          <w:p w14:paraId="0D68C451" w14:textId="0F88ACDC"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-614</w:t>
            </w:r>
          </w:p>
        </w:tc>
        <w:tc>
          <w:tcPr>
            <w:tcW w:w="1418" w:type="dxa"/>
            <w:tcBorders>
              <w:left w:val="single" w:sz="4" w:space="0" w:color="auto"/>
              <w:right w:val="single" w:sz="4" w:space="0" w:color="auto"/>
            </w:tcBorders>
            <w:noWrap/>
            <w:hideMark/>
          </w:tcPr>
          <w:p w14:paraId="073FFF4B" w14:textId="2EDC0BAD" w:rsidR="00931857" w:rsidRPr="00931857"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Pr>
                <w:rFonts w:ascii="Calibri" w:hAnsi="Calibri" w:cs="Calibri"/>
                <w:color w:val="000000"/>
                <w:szCs w:val="22"/>
              </w:rPr>
              <w:t>-794</w:t>
            </w:r>
          </w:p>
        </w:tc>
        <w:tc>
          <w:tcPr>
            <w:tcW w:w="1417" w:type="dxa"/>
            <w:tcBorders>
              <w:left w:val="single" w:sz="4" w:space="0" w:color="auto"/>
            </w:tcBorders>
            <w:noWrap/>
            <w:hideMark/>
          </w:tcPr>
          <w:p w14:paraId="3D3185A3" w14:textId="2D1D4744"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-831</w:t>
            </w:r>
          </w:p>
        </w:tc>
        <w:tc>
          <w:tcPr>
            <w:tcW w:w="1418" w:type="dxa"/>
            <w:noWrap/>
            <w:hideMark/>
          </w:tcPr>
          <w:p w14:paraId="2FE08A32" w14:textId="5F8F50BD"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-914</w:t>
            </w:r>
          </w:p>
        </w:tc>
      </w:tr>
      <w:tr w:rsidR="00931857" w:rsidRPr="00DF1A22" w14:paraId="1CF501C8" w14:textId="77777777" w:rsidTr="00B43C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4FDC018" w14:textId="77777777" w:rsidR="00931857" w:rsidRPr="00DF1A22" w:rsidRDefault="00931857" w:rsidP="00931857">
            <w:pPr>
              <w:keepNext/>
              <w:spacing w:after="0" w:line="240" w:lineRule="auto"/>
              <w:rPr>
                <w:rFonts w:ascii="Calibri" w:eastAsia="Times New Roman" w:hAnsi="Calibri" w:cs="Calibri"/>
                <w:color w:val="000000"/>
                <w:szCs w:val="22"/>
                <w:lang w:eastAsia="sv-SE"/>
              </w:rPr>
            </w:pPr>
            <w:r w:rsidRPr="00DF1A22">
              <w:rPr>
                <w:rFonts w:ascii="Calibri" w:eastAsia="Times New Roman" w:hAnsi="Calibri" w:cs="Calibri"/>
                <w:color w:val="000000"/>
                <w:szCs w:val="22"/>
                <w:lang w:eastAsia="sv-SE"/>
              </w:rPr>
              <w:t>varav huvudverksamhet</w:t>
            </w:r>
          </w:p>
        </w:tc>
        <w:tc>
          <w:tcPr>
            <w:tcW w:w="1417" w:type="dxa"/>
            <w:tcBorders>
              <w:right w:val="single" w:sz="4" w:space="0" w:color="auto"/>
            </w:tcBorders>
            <w:noWrap/>
            <w:hideMark/>
          </w:tcPr>
          <w:p w14:paraId="55BF2E5C" w14:textId="1AD6D050"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-510</w:t>
            </w:r>
          </w:p>
        </w:tc>
        <w:tc>
          <w:tcPr>
            <w:tcW w:w="1418" w:type="dxa"/>
            <w:tcBorders>
              <w:left w:val="single" w:sz="4" w:space="0" w:color="auto"/>
              <w:right w:val="single" w:sz="4" w:space="0" w:color="auto"/>
            </w:tcBorders>
            <w:noWrap/>
            <w:hideMark/>
          </w:tcPr>
          <w:p w14:paraId="226270DE" w14:textId="79E5639C" w:rsidR="00931857" w:rsidRPr="00931857"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Cs w:val="22"/>
                <w:lang w:eastAsia="sv-SE"/>
              </w:rPr>
            </w:pPr>
            <w:r>
              <w:rPr>
                <w:rFonts w:ascii="Calibri" w:hAnsi="Calibri" w:cs="Calibri"/>
                <w:i/>
                <w:iCs/>
                <w:color w:val="000000"/>
                <w:szCs w:val="22"/>
              </w:rPr>
              <w:t>-658</w:t>
            </w:r>
          </w:p>
        </w:tc>
        <w:tc>
          <w:tcPr>
            <w:tcW w:w="1417" w:type="dxa"/>
            <w:tcBorders>
              <w:left w:val="single" w:sz="4" w:space="0" w:color="auto"/>
            </w:tcBorders>
            <w:noWrap/>
            <w:hideMark/>
          </w:tcPr>
          <w:p w14:paraId="3590A846" w14:textId="475E9A93"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-692</w:t>
            </w:r>
          </w:p>
        </w:tc>
        <w:tc>
          <w:tcPr>
            <w:tcW w:w="1418" w:type="dxa"/>
            <w:noWrap/>
            <w:hideMark/>
          </w:tcPr>
          <w:p w14:paraId="0994650B" w14:textId="6A015020" w:rsidR="00931857" w:rsidRPr="00DF1A22" w:rsidRDefault="00931857" w:rsidP="00931857">
            <w:pPr>
              <w:keepNext/>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Cs w:val="22"/>
                <w:lang w:eastAsia="sv-SE"/>
              </w:rPr>
            </w:pPr>
            <w:r>
              <w:rPr>
                <w:rFonts w:ascii="Calibri" w:hAnsi="Calibri" w:cs="Calibri"/>
                <w:i/>
                <w:iCs/>
                <w:color w:val="000000"/>
                <w:szCs w:val="22"/>
              </w:rPr>
              <w:t>-734</w:t>
            </w:r>
          </w:p>
        </w:tc>
      </w:tr>
      <w:tr w:rsidR="00931857" w:rsidRPr="00DF1A22" w14:paraId="33059C59" w14:textId="77777777" w:rsidTr="00B43C21">
        <w:trPr>
          <w:trHeight w:val="288"/>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E5224A1" w14:textId="77777777" w:rsidR="00931857" w:rsidRPr="00DF1A22" w:rsidRDefault="00931857" w:rsidP="00931857">
            <w:pPr>
              <w:keepNext/>
              <w:spacing w:after="0" w:line="240" w:lineRule="auto"/>
              <w:jc w:val="left"/>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 xml:space="preserve">Förändring av skuld till </w:t>
            </w:r>
            <w:r>
              <w:rPr>
                <w:rFonts w:ascii="Calibri" w:eastAsia="Times New Roman" w:hAnsi="Calibri" w:cs="Calibri"/>
                <w:b/>
                <w:bCs/>
                <w:color w:val="000000"/>
                <w:szCs w:val="22"/>
                <w:lang w:eastAsia="sv-SE"/>
              </w:rPr>
              <w:t xml:space="preserve">abonnent </w:t>
            </w:r>
            <w:r w:rsidRPr="00DF1A22">
              <w:rPr>
                <w:rFonts w:ascii="Calibri" w:eastAsia="Times New Roman" w:hAnsi="Calibri" w:cs="Calibri"/>
                <w:b/>
                <w:bCs/>
                <w:color w:val="000000"/>
                <w:szCs w:val="22"/>
                <w:lang w:eastAsia="sv-SE"/>
              </w:rPr>
              <w:t>(resultat)</w:t>
            </w:r>
          </w:p>
        </w:tc>
        <w:tc>
          <w:tcPr>
            <w:tcW w:w="1417" w:type="dxa"/>
            <w:tcBorders>
              <w:right w:val="single" w:sz="4" w:space="0" w:color="auto"/>
            </w:tcBorders>
            <w:noWrap/>
            <w:hideMark/>
          </w:tcPr>
          <w:p w14:paraId="30541F90" w14:textId="76507788"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-7</w:t>
            </w:r>
          </w:p>
        </w:tc>
        <w:tc>
          <w:tcPr>
            <w:tcW w:w="1418" w:type="dxa"/>
            <w:tcBorders>
              <w:left w:val="single" w:sz="4" w:space="0" w:color="auto"/>
              <w:right w:val="single" w:sz="4" w:space="0" w:color="auto"/>
            </w:tcBorders>
            <w:noWrap/>
            <w:hideMark/>
          </w:tcPr>
          <w:p w14:paraId="264BA085" w14:textId="7F9EEAD5" w:rsidR="00931857" w:rsidRPr="00931857"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eastAsia="sv-SE"/>
              </w:rPr>
            </w:pPr>
            <w:r>
              <w:rPr>
                <w:rFonts w:ascii="Calibri" w:hAnsi="Calibri" w:cs="Calibri"/>
                <w:color w:val="000000"/>
                <w:szCs w:val="22"/>
              </w:rPr>
              <w:t>-45</w:t>
            </w:r>
          </w:p>
        </w:tc>
        <w:tc>
          <w:tcPr>
            <w:tcW w:w="1417" w:type="dxa"/>
            <w:tcBorders>
              <w:left w:val="single" w:sz="4" w:space="0" w:color="auto"/>
            </w:tcBorders>
            <w:noWrap/>
            <w:hideMark/>
          </w:tcPr>
          <w:p w14:paraId="3E59D38D" w14:textId="3EE48139"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4</w:t>
            </w:r>
          </w:p>
        </w:tc>
        <w:tc>
          <w:tcPr>
            <w:tcW w:w="1418" w:type="dxa"/>
            <w:noWrap/>
            <w:hideMark/>
          </w:tcPr>
          <w:p w14:paraId="17159BC5" w14:textId="715A158E" w:rsidR="00931857" w:rsidRPr="00DF1A22" w:rsidRDefault="00931857" w:rsidP="0093185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23</w:t>
            </w:r>
          </w:p>
        </w:tc>
      </w:tr>
      <w:tr w:rsidR="00931857" w:rsidRPr="00DF1A22" w14:paraId="50DB1511" w14:textId="77777777" w:rsidTr="00B43C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94BDC9E" w14:textId="77777777" w:rsidR="00931857" w:rsidRPr="00DF1A22" w:rsidRDefault="00931857" w:rsidP="00931857">
            <w:pPr>
              <w:spacing w:after="0" w:line="240" w:lineRule="auto"/>
              <w:jc w:val="left"/>
              <w:rPr>
                <w:rFonts w:ascii="Calibri" w:eastAsia="Times New Roman" w:hAnsi="Calibri" w:cs="Calibri"/>
                <w:b/>
                <w:bCs/>
                <w:color w:val="000000"/>
                <w:szCs w:val="22"/>
                <w:lang w:eastAsia="sv-SE"/>
              </w:rPr>
            </w:pPr>
            <w:r w:rsidRPr="00DF1A22">
              <w:rPr>
                <w:rFonts w:ascii="Calibri" w:eastAsia="Times New Roman" w:hAnsi="Calibri" w:cs="Calibri"/>
                <w:b/>
                <w:bCs/>
                <w:color w:val="000000"/>
                <w:szCs w:val="22"/>
                <w:lang w:eastAsia="sv-SE"/>
              </w:rPr>
              <w:t xml:space="preserve">Skuld/fordran mot </w:t>
            </w:r>
            <w:r>
              <w:rPr>
                <w:rFonts w:ascii="Calibri" w:eastAsia="Times New Roman" w:hAnsi="Calibri" w:cs="Calibri"/>
                <w:b/>
                <w:bCs/>
                <w:color w:val="000000"/>
                <w:szCs w:val="22"/>
                <w:lang w:eastAsia="sv-SE"/>
              </w:rPr>
              <w:t>abonnent</w:t>
            </w:r>
          </w:p>
        </w:tc>
        <w:tc>
          <w:tcPr>
            <w:tcW w:w="1417" w:type="dxa"/>
            <w:tcBorders>
              <w:right w:val="single" w:sz="4" w:space="0" w:color="auto"/>
            </w:tcBorders>
            <w:noWrap/>
            <w:hideMark/>
          </w:tcPr>
          <w:p w14:paraId="6E5B94E1" w14:textId="3944C07A" w:rsidR="00931857" w:rsidRPr="00DF1A22" w:rsidRDefault="00931857" w:rsidP="0093185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8</w:t>
            </w:r>
          </w:p>
        </w:tc>
        <w:tc>
          <w:tcPr>
            <w:tcW w:w="1418" w:type="dxa"/>
            <w:tcBorders>
              <w:left w:val="single" w:sz="4" w:space="0" w:color="auto"/>
              <w:bottom w:val="single" w:sz="4" w:space="0" w:color="auto"/>
              <w:right w:val="single" w:sz="4" w:space="0" w:color="auto"/>
            </w:tcBorders>
            <w:noWrap/>
            <w:hideMark/>
          </w:tcPr>
          <w:p w14:paraId="4A6B62C4" w14:textId="0E232552" w:rsidR="00931857" w:rsidRPr="00931857" w:rsidRDefault="00931857" w:rsidP="0093185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eastAsia="sv-SE"/>
              </w:rPr>
            </w:pPr>
            <w:r>
              <w:rPr>
                <w:rFonts w:ascii="Calibri" w:hAnsi="Calibri" w:cs="Calibri"/>
                <w:color w:val="000000"/>
                <w:szCs w:val="22"/>
              </w:rPr>
              <w:t>-37</w:t>
            </w:r>
          </w:p>
        </w:tc>
        <w:tc>
          <w:tcPr>
            <w:tcW w:w="1417" w:type="dxa"/>
            <w:tcBorders>
              <w:left w:val="single" w:sz="4" w:space="0" w:color="auto"/>
            </w:tcBorders>
            <w:noWrap/>
            <w:hideMark/>
          </w:tcPr>
          <w:p w14:paraId="14B8C9C1" w14:textId="4D93F00B" w:rsidR="00931857" w:rsidRPr="00DF1A22" w:rsidRDefault="00931857" w:rsidP="0093185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-33</w:t>
            </w:r>
          </w:p>
        </w:tc>
        <w:tc>
          <w:tcPr>
            <w:tcW w:w="1418" w:type="dxa"/>
            <w:noWrap/>
            <w:hideMark/>
          </w:tcPr>
          <w:p w14:paraId="1020AEB5" w14:textId="459D0DB1" w:rsidR="00931857" w:rsidRPr="00DF1A22" w:rsidRDefault="00931857" w:rsidP="0093185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eastAsia="sv-SE"/>
              </w:rPr>
            </w:pPr>
            <w:r>
              <w:rPr>
                <w:rFonts w:ascii="Calibri" w:hAnsi="Calibri" w:cs="Calibri"/>
                <w:color w:val="000000"/>
                <w:szCs w:val="22"/>
              </w:rPr>
              <w:t>-10</w:t>
            </w:r>
          </w:p>
        </w:tc>
      </w:tr>
    </w:tbl>
    <w:p w14:paraId="6200219E" w14:textId="77777777" w:rsidR="00931857" w:rsidRPr="00DF1A22" w:rsidRDefault="00931857" w:rsidP="00132CB6">
      <w:pPr>
        <w:spacing w:after="120"/>
        <w:rPr>
          <w:sz w:val="24"/>
          <w:szCs w:val="28"/>
          <w:lang w:eastAsia="sv-SE"/>
        </w:rPr>
      </w:pPr>
    </w:p>
    <w:p w14:paraId="633C1A6B" w14:textId="26BE2C33" w:rsidR="007342E0" w:rsidRDefault="007342E0" w:rsidP="007342E0">
      <w:pPr>
        <w:pStyle w:val="Rubrik3"/>
        <w:jc w:val="both"/>
        <w:rPr>
          <w:rFonts w:eastAsia="Times New Roman"/>
          <w:lang w:eastAsia="sv-SE"/>
        </w:rPr>
      </w:pPr>
      <w:bookmarkStart w:id="2" w:name="_Toc463016109"/>
      <w:r w:rsidRPr="00F42AB6">
        <w:rPr>
          <w:rFonts w:eastAsia="Times New Roman"/>
          <w:lang w:eastAsia="sv-SE"/>
        </w:rPr>
        <w:t xml:space="preserve">Förslag avseende </w:t>
      </w:r>
      <w:r>
        <w:rPr>
          <w:rFonts w:eastAsia="Times New Roman"/>
          <w:lang w:eastAsia="sv-SE"/>
        </w:rPr>
        <w:t>övergripande</w:t>
      </w:r>
      <w:r w:rsidRPr="00F42AB6">
        <w:rPr>
          <w:rFonts w:eastAsia="Times New Roman"/>
          <w:lang w:eastAsia="sv-SE"/>
        </w:rPr>
        <w:t xml:space="preserve"> avgiftsförändringar från 20</w:t>
      </w:r>
      <w:bookmarkEnd w:id="2"/>
      <w:r w:rsidRPr="00F42AB6">
        <w:rPr>
          <w:rFonts w:eastAsia="Times New Roman"/>
          <w:lang w:eastAsia="sv-SE"/>
        </w:rPr>
        <w:t>2</w:t>
      </w:r>
      <w:r>
        <w:rPr>
          <w:rFonts w:eastAsia="Times New Roman"/>
          <w:lang w:eastAsia="sv-SE"/>
        </w:rPr>
        <w:t>3</w:t>
      </w:r>
    </w:p>
    <w:p w14:paraId="151BC0FC" w14:textId="39C4EF98" w:rsidR="00DF1A22" w:rsidRDefault="00DF1A22" w:rsidP="00DF1A22">
      <w:pPr>
        <w:spacing w:after="120"/>
        <w:rPr>
          <w:sz w:val="24"/>
          <w:szCs w:val="28"/>
          <w:lang w:eastAsia="sv-SE"/>
        </w:rPr>
      </w:pPr>
      <w:r>
        <w:rPr>
          <w:sz w:val="24"/>
          <w:szCs w:val="28"/>
          <w:lang w:eastAsia="sv-SE"/>
        </w:rPr>
        <w:t>Under de kommande åren ska de flerbostadshus och verksamheter som idag har tjänster för blandat avfall i stället byta till tjänster för matavfall och restavfall eftersom utsortering av matavfall blir ett lagkrav. Eftersom en miljöstyrande taxa tillämpas är avgifterna 30 procent högre för tjänster med blandat avfall än för motsvarande tjänster för restavfall. Intäkterna från dess kunder kommer därför att minska de närmaste åren</w:t>
      </w:r>
      <w:r w:rsidR="00931857">
        <w:rPr>
          <w:sz w:val="24"/>
          <w:szCs w:val="28"/>
          <w:lang w:eastAsia="sv-SE"/>
        </w:rPr>
        <w:t xml:space="preserve"> när de byter till den billigare tjänsten för restavfall</w:t>
      </w:r>
      <w:r>
        <w:rPr>
          <w:sz w:val="24"/>
          <w:szCs w:val="28"/>
          <w:lang w:eastAsia="sv-SE"/>
        </w:rPr>
        <w:t xml:space="preserve">. </w:t>
      </w:r>
      <w:r w:rsidR="00931857">
        <w:rPr>
          <w:sz w:val="24"/>
          <w:szCs w:val="28"/>
          <w:lang w:eastAsia="sv-SE"/>
        </w:rPr>
        <w:t>M</w:t>
      </w:r>
      <w:r>
        <w:rPr>
          <w:sz w:val="24"/>
          <w:szCs w:val="28"/>
          <w:lang w:eastAsia="sv-SE"/>
        </w:rPr>
        <w:t xml:space="preserve">ånga </w:t>
      </w:r>
      <w:r w:rsidR="00931857">
        <w:rPr>
          <w:sz w:val="24"/>
          <w:szCs w:val="28"/>
          <w:lang w:eastAsia="sv-SE"/>
        </w:rPr>
        <w:t xml:space="preserve">gånger </w:t>
      </w:r>
      <w:r>
        <w:rPr>
          <w:sz w:val="24"/>
          <w:szCs w:val="28"/>
          <w:lang w:eastAsia="sv-SE"/>
        </w:rPr>
        <w:t xml:space="preserve">ser kunderna över tjänsternas volym i samband med bytet, vilket bedöms påverka intäkterna neråt. En osäkerhetsfaktor i intäktsbedömningen för 2024 är att det är svårt att förutsäga vid vilken tidpunkt de olika kunderna byter och därmed att bedöma intäkterna. På helårsbasis bedöms förändringen innebära en nettominskning av intäkterna med drygt </w:t>
      </w:r>
      <w:r w:rsidR="00931857">
        <w:rPr>
          <w:sz w:val="24"/>
          <w:szCs w:val="28"/>
          <w:lang w:eastAsia="sv-SE"/>
        </w:rPr>
        <w:t>sju miljoner kronor</w:t>
      </w:r>
      <w:r>
        <w:rPr>
          <w:sz w:val="24"/>
          <w:szCs w:val="28"/>
          <w:lang w:eastAsia="sv-SE"/>
        </w:rPr>
        <w:t xml:space="preserve">. Detta bidrar till </w:t>
      </w:r>
      <w:r>
        <w:rPr>
          <w:sz w:val="24"/>
          <w:szCs w:val="28"/>
          <w:lang w:eastAsia="sv-SE"/>
        </w:rPr>
        <w:lastRenderedPageBreak/>
        <w:t>att avgiftshöjningarna föreslås med ett högre procenttal än den nominerade totala intäktsökningen.</w:t>
      </w:r>
    </w:p>
    <w:p w14:paraId="7F94AA68" w14:textId="4FF23203" w:rsidR="0010722B" w:rsidRDefault="0010722B" w:rsidP="00132CB6">
      <w:pPr>
        <w:pStyle w:val="Rubrik4"/>
        <w:rPr>
          <w:lang w:eastAsia="sv-SE"/>
        </w:rPr>
      </w:pPr>
      <w:r>
        <w:rPr>
          <w:lang w:eastAsia="sv-SE"/>
        </w:rPr>
        <w:t>Förordat alternativ</w:t>
      </w:r>
    </w:p>
    <w:p w14:paraId="1975756F" w14:textId="5E338444" w:rsidR="0010722B" w:rsidRPr="00132CB6" w:rsidRDefault="0010722B" w:rsidP="0010722B">
      <w:pPr>
        <w:rPr>
          <w:sz w:val="24"/>
          <w:szCs w:val="28"/>
          <w:lang w:eastAsia="sv-SE"/>
        </w:rPr>
      </w:pPr>
      <w:r w:rsidRPr="00132CB6">
        <w:rPr>
          <w:sz w:val="24"/>
          <w:szCs w:val="28"/>
          <w:lang w:eastAsia="sv-SE"/>
        </w:rPr>
        <w:t xml:space="preserve">Viktavgiften förslås </w:t>
      </w:r>
      <w:r w:rsidR="00132CB6">
        <w:rPr>
          <w:sz w:val="24"/>
          <w:szCs w:val="28"/>
          <w:lang w:eastAsia="sv-SE"/>
        </w:rPr>
        <w:t xml:space="preserve">i detta alternativ </w:t>
      </w:r>
      <w:r w:rsidRPr="00132CB6">
        <w:rPr>
          <w:sz w:val="24"/>
          <w:szCs w:val="28"/>
          <w:lang w:eastAsia="sv-SE"/>
        </w:rPr>
        <w:t>höjas med 14,5 procent från 2,75 kr/kg till 3,15 kr/kg med moms, övriga avgifter föreslås höjas med 12 procent, med vissa undantag</w:t>
      </w:r>
      <w:r w:rsidR="00132CB6">
        <w:rPr>
          <w:sz w:val="24"/>
          <w:szCs w:val="28"/>
          <w:lang w:eastAsia="sv-SE"/>
        </w:rPr>
        <w:t xml:space="preserve"> som beskrivs nedan</w:t>
      </w:r>
      <w:r w:rsidRPr="00132CB6">
        <w:rPr>
          <w:sz w:val="24"/>
          <w:szCs w:val="28"/>
          <w:lang w:eastAsia="sv-SE"/>
        </w:rPr>
        <w:t xml:space="preserve">. </w:t>
      </w:r>
      <w:r w:rsidR="00132CB6" w:rsidRPr="00132CB6">
        <w:rPr>
          <w:sz w:val="24"/>
          <w:szCs w:val="28"/>
          <w:lang w:eastAsia="sv-SE"/>
        </w:rPr>
        <w:t xml:space="preserve">Avgifterna för </w:t>
      </w:r>
      <w:r w:rsidR="00132CB6">
        <w:rPr>
          <w:sz w:val="24"/>
          <w:szCs w:val="28"/>
          <w:lang w:eastAsia="sv-SE"/>
        </w:rPr>
        <w:t xml:space="preserve">de </w:t>
      </w:r>
      <w:r w:rsidR="00132CB6" w:rsidRPr="00132CB6">
        <w:rPr>
          <w:sz w:val="24"/>
          <w:szCs w:val="28"/>
          <w:lang w:eastAsia="sv-SE"/>
        </w:rPr>
        <w:t xml:space="preserve">tjänster i södra skärgården där viktavgiften ingår i avgiften, föreslås </w:t>
      </w:r>
      <w:r w:rsidR="00132CB6">
        <w:rPr>
          <w:sz w:val="24"/>
          <w:szCs w:val="28"/>
          <w:lang w:eastAsia="sv-SE"/>
        </w:rPr>
        <w:t xml:space="preserve">höjas </w:t>
      </w:r>
      <w:r w:rsidR="00132CB6" w:rsidRPr="00132CB6">
        <w:rPr>
          <w:sz w:val="24"/>
          <w:szCs w:val="28"/>
          <w:lang w:eastAsia="sv-SE"/>
        </w:rPr>
        <w:t xml:space="preserve">med </w:t>
      </w:r>
      <w:r w:rsidRPr="00132CB6">
        <w:rPr>
          <w:sz w:val="24"/>
          <w:szCs w:val="28"/>
          <w:lang w:eastAsia="sv-SE"/>
        </w:rPr>
        <w:t>12,8 procent för att motsvara övriga höjningar.</w:t>
      </w:r>
    </w:p>
    <w:p w14:paraId="24220837" w14:textId="21641225" w:rsidR="003346FC" w:rsidRPr="00132CB6" w:rsidRDefault="00931857" w:rsidP="0010722B">
      <w:pPr>
        <w:rPr>
          <w:sz w:val="24"/>
          <w:szCs w:val="28"/>
          <w:lang w:eastAsia="sv-SE"/>
        </w:rPr>
      </w:pPr>
      <w:r w:rsidRPr="00132CB6">
        <w:rPr>
          <w:sz w:val="24"/>
          <w:szCs w:val="28"/>
          <w:lang w:eastAsia="sv-SE"/>
        </w:rPr>
        <w:t xml:space="preserve">Viktavgiften föreslås </w:t>
      </w:r>
      <w:r>
        <w:rPr>
          <w:sz w:val="24"/>
          <w:szCs w:val="28"/>
          <w:lang w:eastAsia="sv-SE"/>
        </w:rPr>
        <w:t xml:space="preserve">justeras med </w:t>
      </w:r>
      <w:r w:rsidRPr="00132CB6">
        <w:rPr>
          <w:sz w:val="24"/>
          <w:szCs w:val="28"/>
          <w:lang w:eastAsia="sv-SE"/>
        </w:rPr>
        <w:t>e</w:t>
      </w:r>
      <w:r>
        <w:rPr>
          <w:sz w:val="24"/>
          <w:szCs w:val="28"/>
          <w:lang w:eastAsia="sv-SE"/>
        </w:rPr>
        <w:t>tt</w:t>
      </w:r>
      <w:r w:rsidRPr="00132CB6">
        <w:rPr>
          <w:sz w:val="24"/>
          <w:szCs w:val="28"/>
          <w:lang w:eastAsia="sv-SE"/>
        </w:rPr>
        <w:t xml:space="preserve"> högre </w:t>
      </w:r>
      <w:r>
        <w:rPr>
          <w:sz w:val="24"/>
          <w:szCs w:val="28"/>
          <w:lang w:eastAsia="sv-SE"/>
        </w:rPr>
        <w:t>procenttal</w:t>
      </w:r>
      <w:r w:rsidRPr="00132CB6">
        <w:rPr>
          <w:sz w:val="24"/>
          <w:szCs w:val="28"/>
          <w:lang w:eastAsia="sv-SE"/>
        </w:rPr>
        <w:t xml:space="preserve"> än övriga avgifter för </w:t>
      </w:r>
      <w:r>
        <w:rPr>
          <w:sz w:val="24"/>
          <w:szCs w:val="28"/>
          <w:lang w:eastAsia="sv-SE"/>
        </w:rPr>
        <w:t xml:space="preserve">att bibehålla andelen viktintäkter omkring </w:t>
      </w:r>
      <w:r w:rsidR="00132CB6">
        <w:rPr>
          <w:sz w:val="24"/>
          <w:szCs w:val="28"/>
          <w:lang w:eastAsia="sv-SE"/>
        </w:rPr>
        <w:t>30 procent när avfallsmängderna minskar.</w:t>
      </w:r>
    </w:p>
    <w:p w14:paraId="4FEE5DED" w14:textId="6A1B3655" w:rsidR="0010722B" w:rsidRDefault="0010722B" w:rsidP="00132CB6">
      <w:pPr>
        <w:pStyle w:val="Rubrik4"/>
        <w:rPr>
          <w:lang w:eastAsia="sv-SE"/>
        </w:rPr>
      </w:pPr>
      <w:r>
        <w:rPr>
          <w:lang w:eastAsia="sv-SE"/>
        </w:rPr>
        <w:t>Alternativ inom den nominerade nivån</w:t>
      </w:r>
    </w:p>
    <w:p w14:paraId="1E394F85" w14:textId="37BFF92B" w:rsidR="00132CB6" w:rsidRPr="00132CB6" w:rsidRDefault="00132CB6" w:rsidP="00132CB6">
      <w:pPr>
        <w:rPr>
          <w:sz w:val="24"/>
          <w:szCs w:val="28"/>
          <w:lang w:eastAsia="sv-SE"/>
        </w:rPr>
      </w:pPr>
      <w:r w:rsidRPr="00132CB6">
        <w:rPr>
          <w:sz w:val="24"/>
          <w:szCs w:val="28"/>
          <w:lang w:eastAsia="sv-SE"/>
        </w:rPr>
        <w:t xml:space="preserve">Viktavgiften förslås </w:t>
      </w:r>
      <w:r>
        <w:rPr>
          <w:sz w:val="24"/>
          <w:szCs w:val="28"/>
          <w:lang w:eastAsia="sv-SE"/>
        </w:rPr>
        <w:t xml:space="preserve">i detta alternativ </w:t>
      </w:r>
      <w:r w:rsidRPr="00132CB6">
        <w:rPr>
          <w:sz w:val="24"/>
          <w:szCs w:val="28"/>
          <w:lang w:eastAsia="sv-SE"/>
        </w:rPr>
        <w:t>höjas med 1</w:t>
      </w:r>
      <w:r>
        <w:rPr>
          <w:sz w:val="24"/>
          <w:szCs w:val="28"/>
          <w:lang w:eastAsia="sv-SE"/>
        </w:rPr>
        <w:t>0</w:t>
      </w:r>
      <w:r w:rsidRPr="00132CB6">
        <w:rPr>
          <w:sz w:val="24"/>
          <w:szCs w:val="28"/>
          <w:lang w:eastAsia="sv-SE"/>
        </w:rPr>
        <w:t>,</w:t>
      </w:r>
      <w:r>
        <w:rPr>
          <w:sz w:val="24"/>
          <w:szCs w:val="28"/>
          <w:lang w:eastAsia="sv-SE"/>
        </w:rPr>
        <w:t>9</w:t>
      </w:r>
      <w:r w:rsidRPr="00132CB6">
        <w:rPr>
          <w:sz w:val="24"/>
          <w:szCs w:val="28"/>
          <w:lang w:eastAsia="sv-SE"/>
        </w:rPr>
        <w:t xml:space="preserve"> procent från 2,</w:t>
      </w:r>
      <w:r>
        <w:rPr>
          <w:sz w:val="24"/>
          <w:szCs w:val="28"/>
          <w:lang w:eastAsia="sv-SE"/>
        </w:rPr>
        <w:t>7</w:t>
      </w:r>
      <w:r w:rsidRPr="00132CB6">
        <w:rPr>
          <w:sz w:val="24"/>
          <w:szCs w:val="28"/>
          <w:lang w:eastAsia="sv-SE"/>
        </w:rPr>
        <w:t>5 kr/kg till 3,</w:t>
      </w:r>
      <w:r>
        <w:rPr>
          <w:sz w:val="24"/>
          <w:szCs w:val="28"/>
          <w:lang w:eastAsia="sv-SE"/>
        </w:rPr>
        <w:t>0</w:t>
      </w:r>
      <w:r w:rsidRPr="00132CB6">
        <w:rPr>
          <w:sz w:val="24"/>
          <w:szCs w:val="28"/>
          <w:lang w:eastAsia="sv-SE"/>
        </w:rPr>
        <w:t xml:space="preserve">5 kr/kg </w:t>
      </w:r>
      <w:r>
        <w:rPr>
          <w:sz w:val="24"/>
          <w:szCs w:val="28"/>
          <w:lang w:eastAsia="sv-SE"/>
        </w:rPr>
        <w:t>(</w:t>
      </w:r>
      <w:r w:rsidRPr="00132CB6">
        <w:rPr>
          <w:sz w:val="24"/>
          <w:szCs w:val="28"/>
          <w:lang w:eastAsia="sv-SE"/>
        </w:rPr>
        <w:t>med moms</w:t>
      </w:r>
      <w:r>
        <w:rPr>
          <w:sz w:val="24"/>
          <w:szCs w:val="28"/>
          <w:lang w:eastAsia="sv-SE"/>
        </w:rPr>
        <w:t>)</w:t>
      </w:r>
      <w:r w:rsidRPr="00132CB6">
        <w:rPr>
          <w:sz w:val="24"/>
          <w:szCs w:val="28"/>
          <w:lang w:eastAsia="sv-SE"/>
        </w:rPr>
        <w:t>, övriga avgifter föreslås höjas med 1</w:t>
      </w:r>
      <w:r>
        <w:rPr>
          <w:sz w:val="24"/>
          <w:szCs w:val="28"/>
          <w:lang w:eastAsia="sv-SE"/>
        </w:rPr>
        <w:t>0</w:t>
      </w:r>
      <w:r w:rsidRPr="00132CB6">
        <w:rPr>
          <w:sz w:val="24"/>
          <w:szCs w:val="28"/>
          <w:lang w:eastAsia="sv-SE"/>
        </w:rPr>
        <w:t xml:space="preserve"> procent, med vissa undantag</w:t>
      </w:r>
      <w:r>
        <w:rPr>
          <w:sz w:val="24"/>
          <w:szCs w:val="28"/>
          <w:lang w:eastAsia="sv-SE"/>
        </w:rPr>
        <w:t xml:space="preserve"> som beskrivs nedan</w:t>
      </w:r>
      <w:r w:rsidRPr="00132CB6">
        <w:rPr>
          <w:sz w:val="24"/>
          <w:szCs w:val="28"/>
          <w:lang w:eastAsia="sv-SE"/>
        </w:rPr>
        <w:t xml:space="preserve">. Avgifterna för </w:t>
      </w:r>
      <w:r>
        <w:rPr>
          <w:sz w:val="24"/>
          <w:szCs w:val="28"/>
          <w:lang w:eastAsia="sv-SE"/>
        </w:rPr>
        <w:t xml:space="preserve">de </w:t>
      </w:r>
      <w:r w:rsidRPr="00132CB6">
        <w:rPr>
          <w:sz w:val="24"/>
          <w:szCs w:val="28"/>
          <w:lang w:eastAsia="sv-SE"/>
        </w:rPr>
        <w:t xml:space="preserve">tjänster i södra skärgården där viktavgiften ingår i avgiften, föreslås </w:t>
      </w:r>
      <w:r>
        <w:rPr>
          <w:sz w:val="24"/>
          <w:szCs w:val="28"/>
          <w:lang w:eastAsia="sv-SE"/>
        </w:rPr>
        <w:t xml:space="preserve">höjas </w:t>
      </w:r>
      <w:r w:rsidRPr="00132CB6">
        <w:rPr>
          <w:sz w:val="24"/>
          <w:szCs w:val="28"/>
          <w:lang w:eastAsia="sv-SE"/>
        </w:rPr>
        <w:t>med 1</w:t>
      </w:r>
      <w:r>
        <w:rPr>
          <w:sz w:val="24"/>
          <w:szCs w:val="28"/>
          <w:lang w:eastAsia="sv-SE"/>
        </w:rPr>
        <w:t>0</w:t>
      </w:r>
      <w:r w:rsidRPr="00132CB6">
        <w:rPr>
          <w:sz w:val="24"/>
          <w:szCs w:val="28"/>
          <w:lang w:eastAsia="sv-SE"/>
        </w:rPr>
        <w:t>,</w:t>
      </w:r>
      <w:r>
        <w:rPr>
          <w:sz w:val="24"/>
          <w:szCs w:val="28"/>
          <w:lang w:eastAsia="sv-SE"/>
        </w:rPr>
        <w:t>3</w:t>
      </w:r>
      <w:r w:rsidRPr="00132CB6">
        <w:rPr>
          <w:sz w:val="24"/>
          <w:szCs w:val="28"/>
          <w:lang w:eastAsia="sv-SE"/>
        </w:rPr>
        <w:t xml:space="preserve"> procent för att motsvara övriga höjningar.</w:t>
      </w:r>
    </w:p>
    <w:p w14:paraId="31004DD2" w14:textId="1EF25091" w:rsidR="0010722B" w:rsidRPr="0010722B" w:rsidRDefault="00132CB6" w:rsidP="0010722B">
      <w:pPr>
        <w:rPr>
          <w:lang w:eastAsia="sv-SE"/>
        </w:rPr>
      </w:pPr>
      <w:r w:rsidRPr="00132CB6">
        <w:rPr>
          <w:sz w:val="24"/>
          <w:szCs w:val="28"/>
          <w:lang w:eastAsia="sv-SE"/>
        </w:rPr>
        <w:t xml:space="preserve">Viktavgiften föreslås </w:t>
      </w:r>
      <w:r w:rsidR="00931857">
        <w:rPr>
          <w:sz w:val="24"/>
          <w:szCs w:val="28"/>
          <w:lang w:eastAsia="sv-SE"/>
        </w:rPr>
        <w:t xml:space="preserve">även i detta alternativ justeras med </w:t>
      </w:r>
      <w:r w:rsidRPr="00132CB6">
        <w:rPr>
          <w:sz w:val="24"/>
          <w:szCs w:val="28"/>
          <w:lang w:eastAsia="sv-SE"/>
        </w:rPr>
        <w:t>e</w:t>
      </w:r>
      <w:r w:rsidR="00931857">
        <w:rPr>
          <w:sz w:val="24"/>
          <w:szCs w:val="28"/>
          <w:lang w:eastAsia="sv-SE"/>
        </w:rPr>
        <w:t>tt</w:t>
      </w:r>
      <w:r w:rsidRPr="00132CB6">
        <w:rPr>
          <w:sz w:val="24"/>
          <w:szCs w:val="28"/>
          <w:lang w:eastAsia="sv-SE"/>
        </w:rPr>
        <w:t xml:space="preserve"> högre </w:t>
      </w:r>
      <w:r w:rsidR="00931857">
        <w:rPr>
          <w:sz w:val="24"/>
          <w:szCs w:val="28"/>
          <w:lang w:eastAsia="sv-SE"/>
        </w:rPr>
        <w:t>procenttal</w:t>
      </w:r>
      <w:r w:rsidRPr="00132CB6">
        <w:rPr>
          <w:sz w:val="24"/>
          <w:szCs w:val="28"/>
          <w:lang w:eastAsia="sv-SE"/>
        </w:rPr>
        <w:t xml:space="preserve"> än övriga avgifter för </w:t>
      </w:r>
      <w:r>
        <w:rPr>
          <w:sz w:val="24"/>
          <w:szCs w:val="28"/>
          <w:lang w:eastAsia="sv-SE"/>
        </w:rPr>
        <w:t>att bibehålla andelen viktintäkter omkring 30 procent när avfallsmängderna minskar.</w:t>
      </w:r>
    </w:p>
    <w:p w14:paraId="00374419" w14:textId="775C26D4" w:rsidR="007342E0" w:rsidRDefault="007342E0" w:rsidP="007342E0">
      <w:pPr>
        <w:pStyle w:val="Rubrik3"/>
        <w:rPr>
          <w:rFonts w:eastAsia="Times New Roman"/>
          <w:lang w:eastAsia="sv-SE"/>
        </w:rPr>
      </w:pPr>
      <w:r w:rsidRPr="00F42AB6">
        <w:rPr>
          <w:rFonts w:eastAsia="Times New Roman"/>
          <w:lang w:eastAsia="sv-SE"/>
        </w:rPr>
        <w:t>Förslag avseende</w:t>
      </w:r>
      <w:r>
        <w:rPr>
          <w:rFonts w:eastAsia="Times New Roman"/>
          <w:lang w:eastAsia="sv-SE"/>
        </w:rPr>
        <w:t xml:space="preserve"> specifika </w:t>
      </w:r>
      <w:r w:rsidRPr="00F42AB6">
        <w:rPr>
          <w:rFonts w:eastAsia="Times New Roman"/>
          <w:lang w:eastAsia="sv-SE"/>
        </w:rPr>
        <w:t>förändringar från 202</w:t>
      </w:r>
      <w:r>
        <w:rPr>
          <w:rFonts w:eastAsia="Times New Roman"/>
          <w:lang w:eastAsia="sv-SE"/>
        </w:rPr>
        <w:t>3</w:t>
      </w:r>
    </w:p>
    <w:p w14:paraId="55D4254D" w14:textId="77777777" w:rsidR="008C0B6F" w:rsidRPr="008C0B6F" w:rsidRDefault="008C0B6F" w:rsidP="00132CB6">
      <w:pPr>
        <w:pStyle w:val="Rubrik4"/>
        <w:rPr>
          <w:lang w:eastAsia="sv-SE"/>
        </w:rPr>
      </w:pPr>
      <w:r w:rsidRPr="008C0B6F">
        <w:rPr>
          <w:lang w:eastAsia="sv-SE"/>
        </w:rPr>
        <w:t>Förpackningsinsamling</w:t>
      </w:r>
    </w:p>
    <w:p w14:paraId="79E00390" w14:textId="4F4008DB" w:rsidR="003346FC" w:rsidRPr="003346FC" w:rsidRDefault="008C0B6F" w:rsidP="008C0B6F">
      <w:pPr>
        <w:rPr>
          <w:sz w:val="24"/>
          <w:szCs w:val="28"/>
          <w:lang w:eastAsia="sv-SE"/>
        </w:rPr>
      </w:pPr>
      <w:r w:rsidRPr="003346FC">
        <w:rPr>
          <w:sz w:val="24"/>
          <w:szCs w:val="28"/>
          <w:lang w:eastAsia="sv-SE"/>
        </w:rPr>
        <w:t xml:space="preserve">Nya maxavgifter föreslås tillkomma under 2024. Det avser avgifter för extra tät tömning av förpackningsavfall från flerbostadshus. Den ordinarie servicenivån för förpackningsinsamling föreslås vara kostnadsfri för flerbostadshuskunderna, men för tillkommande </w:t>
      </w:r>
      <w:r w:rsidR="003346FC">
        <w:rPr>
          <w:sz w:val="24"/>
          <w:szCs w:val="28"/>
          <w:lang w:eastAsia="sv-SE"/>
        </w:rPr>
        <w:t xml:space="preserve">högre </w:t>
      </w:r>
      <w:r w:rsidRPr="003346FC">
        <w:rPr>
          <w:sz w:val="24"/>
          <w:szCs w:val="28"/>
          <w:lang w:eastAsia="sv-SE"/>
        </w:rPr>
        <w:t xml:space="preserve">service föreslås en avgiftsnivå nära självkostnaden. </w:t>
      </w:r>
    </w:p>
    <w:p w14:paraId="65971D2B" w14:textId="6D05BFD8" w:rsidR="003346FC" w:rsidRPr="003346FC" w:rsidRDefault="003346FC" w:rsidP="008C0B6F">
      <w:pPr>
        <w:rPr>
          <w:sz w:val="24"/>
          <w:szCs w:val="28"/>
          <w:lang w:eastAsia="sv-SE"/>
        </w:rPr>
      </w:pPr>
      <w:r w:rsidRPr="003346FC">
        <w:rPr>
          <w:sz w:val="24"/>
          <w:szCs w:val="28"/>
          <w:lang w:eastAsia="sv-SE"/>
        </w:rPr>
        <w:t>Syftet med att ta ut en avgift för tätare tömningar är miljöstyr</w:t>
      </w:r>
      <w:r>
        <w:rPr>
          <w:sz w:val="24"/>
          <w:szCs w:val="28"/>
          <w:lang w:eastAsia="sv-SE"/>
        </w:rPr>
        <w:t>ning</w:t>
      </w:r>
      <w:r w:rsidRPr="003346FC">
        <w:rPr>
          <w:sz w:val="24"/>
          <w:szCs w:val="28"/>
          <w:lang w:eastAsia="sv-SE"/>
        </w:rPr>
        <w:t xml:space="preserve">. Att minska antalet tillfällen som varje </w:t>
      </w:r>
      <w:r>
        <w:rPr>
          <w:sz w:val="24"/>
          <w:szCs w:val="28"/>
          <w:lang w:eastAsia="sv-SE"/>
        </w:rPr>
        <w:t>avfallsutrymme</w:t>
      </w:r>
      <w:r w:rsidRPr="003346FC">
        <w:rPr>
          <w:sz w:val="24"/>
          <w:szCs w:val="28"/>
          <w:lang w:eastAsia="sv-SE"/>
        </w:rPr>
        <w:t xml:space="preserve"> besöks minskar den lokala trafikbelastningen, men det ger också större möjligheter att samordna förpackningshämtningen mellan småhus och flerbostadshus när flerfackssystemet införs för småhus under kommande år. Effektiva hämtningsrutter håller </w:t>
      </w:r>
      <w:r>
        <w:rPr>
          <w:sz w:val="24"/>
          <w:szCs w:val="28"/>
          <w:lang w:eastAsia="sv-SE"/>
        </w:rPr>
        <w:t xml:space="preserve">även </w:t>
      </w:r>
      <w:r w:rsidRPr="003346FC">
        <w:rPr>
          <w:sz w:val="24"/>
          <w:szCs w:val="28"/>
          <w:lang w:eastAsia="sv-SE"/>
        </w:rPr>
        <w:t>nere totalkostnaderna för avfallshanteringen.</w:t>
      </w:r>
    </w:p>
    <w:p w14:paraId="5720F887" w14:textId="21F59663" w:rsidR="008C0B6F" w:rsidRPr="003346FC" w:rsidRDefault="008C0B6F" w:rsidP="008C0B6F">
      <w:pPr>
        <w:rPr>
          <w:sz w:val="24"/>
          <w:szCs w:val="28"/>
          <w:lang w:eastAsia="sv-SE"/>
        </w:rPr>
      </w:pPr>
      <w:r w:rsidRPr="003346FC">
        <w:rPr>
          <w:sz w:val="24"/>
          <w:szCs w:val="28"/>
          <w:lang w:eastAsia="sv-SE"/>
        </w:rPr>
        <w:t xml:space="preserve">Förpackningshämtningen kommer att utföras av auktoriserade avfallshämtare enligt deras överenskommelser med kunderna och utförarna ges rätten att debitera enligt kommunens avfallstaxa. För den ordinarie servicenivån, som inte får debiteras, ersätts avfallshämtarna enligt auktorisationsavtalen. Fastighetsägarna kan avtala om annan tillkommande service med avfallshämtarna, som ges möjlighet att debitera för den, till exempel om städning, dragvägar eller skyltning, vilket inte regleras i avfallstaxan eller auktorisationsavtalen. Om flerbostadshusägare följer de rekommendationer för dimensionering av soprum som finns sedan länge i Göteborg (och liknar de som finns i övriga Sverige) så blir insamlingen gratis. </w:t>
      </w:r>
    </w:p>
    <w:p w14:paraId="6724D8F5" w14:textId="0A529CAD" w:rsidR="008C0B6F" w:rsidRPr="003346FC" w:rsidRDefault="008C0B6F" w:rsidP="0010722B">
      <w:pPr>
        <w:rPr>
          <w:sz w:val="24"/>
          <w:szCs w:val="28"/>
          <w:lang w:eastAsia="sv-SE"/>
        </w:rPr>
      </w:pPr>
      <w:r w:rsidRPr="003346FC">
        <w:rPr>
          <w:sz w:val="24"/>
          <w:szCs w:val="28"/>
          <w:lang w:eastAsia="sv-SE"/>
        </w:rPr>
        <w:t xml:space="preserve">Den ordinarie servicenivån för förpackningar föreslås vara hämtning varannan vecka av avfall som utgörs av förpackningar av metall, ofärgat </w:t>
      </w:r>
      <w:r w:rsidR="003346FC" w:rsidRPr="003346FC">
        <w:rPr>
          <w:sz w:val="24"/>
          <w:szCs w:val="28"/>
          <w:lang w:eastAsia="sv-SE"/>
        </w:rPr>
        <w:t>eller</w:t>
      </w:r>
      <w:r w:rsidRPr="003346FC">
        <w:rPr>
          <w:sz w:val="24"/>
          <w:szCs w:val="28"/>
          <w:lang w:eastAsia="sv-SE"/>
        </w:rPr>
        <w:t xml:space="preserve"> färgat glas. För förpackningsavfall av papper och plast föreslås den ordinarie servicenivån vara hämtning varje vecka.</w:t>
      </w:r>
    </w:p>
    <w:p w14:paraId="6A1E4933" w14:textId="597BAE44" w:rsidR="008C0B6F" w:rsidRPr="003346FC" w:rsidRDefault="008C0B6F" w:rsidP="0010722B">
      <w:pPr>
        <w:rPr>
          <w:sz w:val="24"/>
          <w:szCs w:val="28"/>
          <w:lang w:eastAsia="sv-SE"/>
        </w:rPr>
      </w:pPr>
      <w:r w:rsidRPr="003346FC">
        <w:rPr>
          <w:sz w:val="24"/>
          <w:szCs w:val="28"/>
          <w:lang w:eastAsia="sv-SE"/>
        </w:rPr>
        <w:t>För tjänster avseende förpackning</w:t>
      </w:r>
      <w:r w:rsidR="003346FC" w:rsidRPr="003346FC">
        <w:rPr>
          <w:sz w:val="24"/>
          <w:szCs w:val="28"/>
          <w:lang w:eastAsia="sv-SE"/>
        </w:rPr>
        <w:t>savfall</w:t>
      </w:r>
      <w:r w:rsidRPr="003346FC">
        <w:rPr>
          <w:sz w:val="24"/>
          <w:szCs w:val="28"/>
          <w:lang w:eastAsia="sv-SE"/>
        </w:rPr>
        <w:t xml:space="preserve"> av metall och glas föreslås hämtning varje vecka kosta 54 kr (med moms) per tillfälle och kärl. Det motsvarar genomsnittet av gratis hämtning varannan vecka och 108 kronor (med moms) varannan vecka.</w:t>
      </w:r>
    </w:p>
    <w:p w14:paraId="6704D17E" w14:textId="283ADD10" w:rsidR="008C0B6F" w:rsidRPr="003346FC" w:rsidRDefault="008C0B6F" w:rsidP="0010722B">
      <w:pPr>
        <w:rPr>
          <w:sz w:val="24"/>
          <w:szCs w:val="28"/>
          <w:lang w:eastAsia="sv-SE"/>
        </w:rPr>
      </w:pPr>
      <w:r w:rsidRPr="003346FC">
        <w:rPr>
          <w:sz w:val="24"/>
          <w:szCs w:val="28"/>
          <w:lang w:eastAsia="sv-SE"/>
        </w:rPr>
        <w:t xml:space="preserve">För övriga täta intervall (det vill säga tömning som sker 2–7 gånger per vecka) föreslås samtliga förpackningsslag debiteras en avgift med 108 kronor (med moms, per tillfälle och behållare) från och med andra tömningen per vecka. Det innebär att första tömningen varje vecka antingen kostar 0 kr (för papper och plast) eller 54 kr (med moms, för metall och glas) och resterande tömningar under samma vecka kostar 108 kr. </w:t>
      </w:r>
    </w:p>
    <w:p w14:paraId="47A541FA" w14:textId="1A7FD993" w:rsidR="008C0B6F" w:rsidRDefault="008C0B6F" w:rsidP="0010722B">
      <w:pPr>
        <w:rPr>
          <w:lang w:eastAsia="sv-SE"/>
        </w:rPr>
      </w:pPr>
      <w:r w:rsidRPr="003346FC">
        <w:rPr>
          <w:sz w:val="24"/>
          <w:szCs w:val="28"/>
          <w:lang w:eastAsia="sv-SE"/>
        </w:rPr>
        <w:t xml:space="preserve">Utifrån de uppgifter förvaltningen fått från </w:t>
      </w:r>
      <w:r w:rsidR="003346FC" w:rsidRPr="003346FC">
        <w:rPr>
          <w:sz w:val="24"/>
          <w:szCs w:val="28"/>
          <w:lang w:eastAsia="sv-SE"/>
        </w:rPr>
        <w:t xml:space="preserve">en del av </w:t>
      </w:r>
      <w:r w:rsidRPr="003346FC">
        <w:rPr>
          <w:sz w:val="24"/>
          <w:szCs w:val="28"/>
          <w:lang w:eastAsia="sv-SE"/>
        </w:rPr>
        <w:t>de som idag transporterar förpackningsavfall töms två tredjedelar av alla behållare inom de ordinarie intervallen</w:t>
      </w:r>
      <w:r>
        <w:rPr>
          <w:lang w:eastAsia="sv-SE"/>
        </w:rPr>
        <w:t xml:space="preserve">. </w:t>
      </w:r>
    </w:p>
    <w:tbl>
      <w:tblPr>
        <w:tblW w:w="7938" w:type="dxa"/>
        <w:tblLayout w:type="fixed"/>
        <w:tblCellMar>
          <w:left w:w="70" w:type="dxa"/>
          <w:right w:w="70" w:type="dxa"/>
        </w:tblCellMar>
        <w:tblLook w:val="04A0" w:firstRow="1" w:lastRow="0" w:firstColumn="1" w:lastColumn="0" w:noHBand="0" w:noVBand="1"/>
      </w:tblPr>
      <w:tblGrid>
        <w:gridCol w:w="1239"/>
        <w:gridCol w:w="2152"/>
        <w:gridCol w:w="1096"/>
        <w:gridCol w:w="1097"/>
        <w:gridCol w:w="1097"/>
        <w:gridCol w:w="1097"/>
        <w:gridCol w:w="160"/>
      </w:tblGrid>
      <w:tr w:rsidR="00132CB6" w:rsidRPr="00132CB6" w14:paraId="5095D58F" w14:textId="77777777" w:rsidTr="00132CB6">
        <w:trPr>
          <w:gridAfter w:val="1"/>
          <w:wAfter w:w="160" w:type="dxa"/>
          <w:trHeight w:val="493"/>
        </w:trPr>
        <w:tc>
          <w:tcPr>
            <w:tcW w:w="3391"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7A3BF13C" w14:textId="77777777" w:rsidR="00132CB6" w:rsidRPr="00132CB6" w:rsidRDefault="00132CB6" w:rsidP="00931857">
            <w:pPr>
              <w:keepNext/>
              <w:spacing w:after="0" w:line="240" w:lineRule="auto"/>
              <w:jc w:val="center"/>
              <w:rPr>
                <w:rFonts w:ascii="Calibri" w:eastAsia="Times New Roman" w:hAnsi="Calibri" w:cs="Calibri"/>
                <w:b/>
                <w:bCs/>
                <w:color w:val="000000"/>
                <w:sz w:val="17"/>
                <w:szCs w:val="17"/>
                <w:lang w:eastAsia="sv-SE"/>
              </w:rPr>
            </w:pPr>
            <w:r w:rsidRPr="00132CB6">
              <w:rPr>
                <w:rFonts w:ascii="Calibri" w:eastAsia="Times New Roman" w:hAnsi="Calibri" w:cs="Calibri"/>
                <w:b/>
                <w:bCs/>
                <w:color w:val="000000"/>
                <w:sz w:val="17"/>
                <w:szCs w:val="17"/>
                <w:lang w:eastAsia="sv-SE"/>
              </w:rPr>
              <w:t> </w:t>
            </w:r>
          </w:p>
        </w:tc>
        <w:tc>
          <w:tcPr>
            <w:tcW w:w="2193"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68A28C7F" w14:textId="77777777" w:rsidR="00132CB6" w:rsidRPr="00132CB6" w:rsidRDefault="00132CB6" w:rsidP="00931857">
            <w:pPr>
              <w:keepNext/>
              <w:spacing w:after="0" w:line="240" w:lineRule="auto"/>
              <w:jc w:val="center"/>
              <w:rPr>
                <w:rFonts w:ascii="Calibri" w:eastAsia="Times New Roman" w:hAnsi="Calibri" w:cs="Calibri"/>
                <w:b/>
                <w:bCs/>
                <w:color w:val="000000"/>
                <w:sz w:val="17"/>
                <w:szCs w:val="17"/>
                <w:lang w:eastAsia="sv-SE"/>
              </w:rPr>
            </w:pPr>
            <w:r w:rsidRPr="00132CB6">
              <w:rPr>
                <w:rFonts w:ascii="Calibri" w:eastAsia="Times New Roman" w:hAnsi="Calibri" w:cs="Calibri"/>
                <w:b/>
                <w:bCs/>
                <w:color w:val="000000"/>
                <w:sz w:val="17"/>
                <w:szCs w:val="17"/>
                <w:lang w:eastAsia="sv-SE"/>
              </w:rPr>
              <w:t>Maximal tömningsavgift (kr/behållare/tömning)</w:t>
            </w:r>
          </w:p>
        </w:tc>
        <w:tc>
          <w:tcPr>
            <w:tcW w:w="2194"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3EF4CE29" w14:textId="77777777" w:rsidR="00132CB6" w:rsidRPr="00132CB6" w:rsidRDefault="00132CB6" w:rsidP="00931857">
            <w:pPr>
              <w:keepNext/>
              <w:spacing w:after="0" w:line="240" w:lineRule="auto"/>
              <w:jc w:val="center"/>
              <w:rPr>
                <w:rFonts w:ascii="Calibri" w:eastAsia="Times New Roman" w:hAnsi="Calibri" w:cs="Calibri"/>
                <w:b/>
                <w:bCs/>
                <w:color w:val="000000"/>
                <w:sz w:val="17"/>
                <w:szCs w:val="17"/>
                <w:lang w:eastAsia="sv-SE"/>
              </w:rPr>
            </w:pPr>
            <w:r w:rsidRPr="00132CB6">
              <w:rPr>
                <w:rFonts w:ascii="Calibri" w:eastAsia="Times New Roman" w:hAnsi="Calibri" w:cs="Calibri"/>
                <w:b/>
                <w:bCs/>
                <w:color w:val="000000"/>
                <w:sz w:val="17"/>
                <w:szCs w:val="17"/>
                <w:lang w:eastAsia="sv-SE"/>
              </w:rPr>
              <w:t>Maximal tömningsavgift (kr/behållare/tömning)</w:t>
            </w:r>
          </w:p>
        </w:tc>
      </w:tr>
      <w:tr w:rsidR="00132CB6" w:rsidRPr="00132CB6" w14:paraId="7078D705" w14:textId="77777777" w:rsidTr="00132CB6">
        <w:trPr>
          <w:trHeight w:val="288"/>
        </w:trPr>
        <w:tc>
          <w:tcPr>
            <w:tcW w:w="3391" w:type="dxa"/>
            <w:gridSpan w:val="2"/>
            <w:vMerge/>
            <w:tcBorders>
              <w:top w:val="single" w:sz="4" w:space="0" w:color="FFFFFF"/>
              <w:left w:val="single" w:sz="4" w:space="0" w:color="FFFFFF"/>
              <w:bottom w:val="single" w:sz="4" w:space="0" w:color="FFFFFF"/>
              <w:right w:val="single" w:sz="4" w:space="0" w:color="FFFFFF"/>
            </w:tcBorders>
            <w:vAlign w:val="center"/>
            <w:hideMark/>
          </w:tcPr>
          <w:p w14:paraId="1F2EA08C" w14:textId="77777777" w:rsidR="00132CB6" w:rsidRPr="00132CB6" w:rsidRDefault="00132CB6" w:rsidP="00931857">
            <w:pPr>
              <w:keepNext/>
              <w:spacing w:after="0" w:line="240" w:lineRule="auto"/>
              <w:rPr>
                <w:rFonts w:ascii="Calibri" w:eastAsia="Times New Roman" w:hAnsi="Calibri" w:cs="Calibri"/>
                <w:b/>
                <w:bCs/>
                <w:color w:val="000000"/>
                <w:sz w:val="17"/>
                <w:szCs w:val="17"/>
                <w:lang w:eastAsia="sv-SE"/>
              </w:rPr>
            </w:pPr>
          </w:p>
        </w:tc>
        <w:tc>
          <w:tcPr>
            <w:tcW w:w="2193" w:type="dxa"/>
            <w:gridSpan w:val="2"/>
            <w:vMerge/>
            <w:tcBorders>
              <w:top w:val="single" w:sz="4" w:space="0" w:color="FFFFFF"/>
              <w:left w:val="single" w:sz="4" w:space="0" w:color="FFFFFF"/>
              <w:bottom w:val="single" w:sz="4" w:space="0" w:color="FFFFFF"/>
              <w:right w:val="single" w:sz="4" w:space="0" w:color="FFFFFF"/>
            </w:tcBorders>
            <w:vAlign w:val="center"/>
            <w:hideMark/>
          </w:tcPr>
          <w:p w14:paraId="5AD1ED47" w14:textId="77777777" w:rsidR="00132CB6" w:rsidRPr="00132CB6" w:rsidRDefault="00132CB6" w:rsidP="00931857">
            <w:pPr>
              <w:keepNext/>
              <w:spacing w:after="0" w:line="240" w:lineRule="auto"/>
              <w:rPr>
                <w:rFonts w:ascii="Calibri" w:eastAsia="Times New Roman" w:hAnsi="Calibri" w:cs="Calibri"/>
                <w:b/>
                <w:bCs/>
                <w:color w:val="000000"/>
                <w:sz w:val="17"/>
                <w:szCs w:val="17"/>
                <w:lang w:eastAsia="sv-SE"/>
              </w:rPr>
            </w:pPr>
          </w:p>
        </w:tc>
        <w:tc>
          <w:tcPr>
            <w:tcW w:w="2194" w:type="dxa"/>
            <w:gridSpan w:val="2"/>
            <w:vMerge/>
            <w:tcBorders>
              <w:top w:val="single" w:sz="4" w:space="0" w:color="FFFFFF"/>
              <w:left w:val="single" w:sz="4" w:space="0" w:color="FFFFFF"/>
              <w:bottom w:val="single" w:sz="4" w:space="0" w:color="FFFFFF"/>
              <w:right w:val="single" w:sz="4" w:space="0" w:color="FFFFFF"/>
            </w:tcBorders>
            <w:vAlign w:val="center"/>
            <w:hideMark/>
          </w:tcPr>
          <w:p w14:paraId="4288B581" w14:textId="77777777" w:rsidR="00132CB6" w:rsidRPr="00132CB6" w:rsidRDefault="00132CB6" w:rsidP="00931857">
            <w:pPr>
              <w:keepNext/>
              <w:spacing w:after="0" w:line="240" w:lineRule="auto"/>
              <w:rPr>
                <w:rFonts w:ascii="Calibri" w:eastAsia="Times New Roman" w:hAnsi="Calibri" w:cs="Calibri"/>
                <w:b/>
                <w:bCs/>
                <w:color w:val="000000"/>
                <w:sz w:val="17"/>
                <w:szCs w:val="17"/>
                <w:lang w:eastAsia="sv-SE"/>
              </w:rPr>
            </w:pPr>
          </w:p>
        </w:tc>
        <w:tc>
          <w:tcPr>
            <w:tcW w:w="160" w:type="dxa"/>
            <w:tcBorders>
              <w:top w:val="nil"/>
              <w:left w:val="nil"/>
              <w:bottom w:val="nil"/>
              <w:right w:val="nil"/>
            </w:tcBorders>
            <w:shd w:val="clear" w:color="auto" w:fill="auto"/>
            <w:noWrap/>
            <w:vAlign w:val="bottom"/>
            <w:hideMark/>
          </w:tcPr>
          <w:p w14:paraId="11A7E13F" w14:textId="77777777" w:rsidR="00132CB6" w:rsidRPr="00132CB6" w:rsidRDefault="00132CB6" w:rsidP="00132CB6">
            <w:pPr>
              <w:spacing w:after="0" w:line="240" w:lineRule="auto"/>
              <w:jc w:val="center"/>
              <w:rPr>
                <w:rFonts w:ascii="Calibri" w:eastAsia="Times New Roman" w:hAnsi="Calibri" w:cs="Calibri"/>
                <w:b/>
                <w:bCs/>
                <w:color w:val="000000"/>
                <w:sz w:val="17"/>
                <w:szCs w:val="17"/>
                <w:lang w:eastAsia="sv-SE"/>
              </w:rPr>
            </w:pPr>
          </w:p>
        </w:tc>
      </w:tr>
      <w:tr w:rsidR="00132CB6" w:rsidRPr="00132CB6" w14:paraId="36DE0503" w14:textId="77777777" w:rsidTr="00132CB6">
        <w:trPr>
          <w:trHeight w:val="444"/>
        </w:trPr>
        <w:tc>
          <w:tcPr>
            <w:tcW w:w="1239" w:type="dxa"/>
            <w:vMerge w:val="restart"/>
            <w:tcBorders>
              <w:top w:val="nil"/>
              <w:left w:val="single" w:sz="4" w:space="0" w:color="FFFFFF"/>
              <w:bottom w:val="single" w:sz="4" w:space="0" w:color="FFFFFF"/>
              <w:right w:val="single" w:sz="4" w:space="0" w:color="FFFFFF"/>
            </w:tcBorders>
            <w:shd w:val="clear" w:color="000000" w:fill="B7DEE8"/>
            <w:hideMark/>
          </w:tcPr>
          <w:p w14:paraId="66DDD04D" w14:textId="77777777" w:rsidR="00132CB6" w:rsidRPr="00132CB6" w:rsidRDefault="00132CB6" w:rsidP="00931857">
            <w:pPr>
              <w:keepNext/>
              <w:spacing w:after="0" w:line="240" w:lineRule="auto"/>
              <w:rPr>
                <w:rFonts w:ascii="Calibri" w:eastAsia="Times New Roman" w:hAnsi="Calibri" w:cs="Calibri"/>
                <w:b/>
                <w:bCs/>
                <w:color w:val="000000"/>
                <w:sz w:val="17"/>
                <w:szCs w:val="17"/>
                <w:lang w:eastAsia="sv-SE"/>
              </w:rPr>
            </w:pPr>
            <w:r w:rsidRPr="00132CB6">
              <w:rPr>
                <w:rFonts w:ascii="Calibri" w:eastAsia="Times New Roman" w:hAnsi="Calibri" w:cs="Calibri"/>
                <w:b/>
                <w:bCs/>
                <w:color w:val="000000"/>
                <w:sz w:val="17"/>
                <w:szCs w:val="17"/>
                <w:lang w:eastAsia="sv-SE"/>
              </w:rPr>
              <w:t>Behållare</w:t>
            </w:r>
          </w:p>
        </w:tc>
        <w:tc>
          <w:tcPr>
            <w:tcW w:w="2152" w:type="dxa"/>
            <w:vMerge w:val="restart"/>
            <w:tcBorders>
              <w:top w:val="nil"/>
              <w:left w:val="nil"/>
              <w:bottom w:val="single" w:sz="4" w:space="0" w:color="FFFFFF"/>
              <w:right w:val="single" w:sz="4" w:space="0" w:color="FFFFFF"/>
            </w:tcBorders>
            <w:shd w:val="clear" w:color="000000" w:fill="B7DEE8"/>
            <w:hideMark/>
          </w:tcPr>
          <w:p w14:paraId="668D12FB" w14:textId="77777777" w:rsidR="00132CB6" w:rsidRPr="00132CB6" w:rsidRDefault="00132CB6" w:rsidP="00931857">
            <w:pPr>
              <w:keepNext/>
              <w:spacing w:after="0" w:line="240" w:lineRule="auto"/>
              <w:rPr>
                <w:rFonts w:ascii="Calibri" w:eastAsia="Times New Roman" w:hAnsi="Calibri" w:cs="Calibri"/>
                <w:b/>
                <w:bCs/>
                <w:color w:val="000000"/>
                <w:sz w:val="17"/>
                <w:szCs w:val="17"/>
                <w:lang w:eastAsia="sv-SE"/>
              </w:rPr>
            </w:pPr>
            <w:r w:rsidRPr="00132CB6">
              <w:rPr>
                <w:rFonts w:ascii="Calibri" w:eastAsia="Times New Roman" w:hAnsi="Calibri" w:cs="Calibri"/>
                <w:b/>
                <w:bCs/>
                <w:color w:val="000000"/>
                <w:sz w:val="17"/>
                <w:szCs w:val="17"/>
                <w:lang w:eastAsia="sv-SE"/>
              </w:rPr>
              <w:t>Hämtning</w:t>
            </w:r>
          </w:p>
        </w:tc>
        <w:tc>
          <w:tcPr>
            <w:tcW w:w="2193"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4D1E0E6F" w14:textId="77777777" w:rsidR="00132CB6" w:rsidRPr="00132CB6" w:rsidRDefault="00132CB6" w:rsidP="00931857">
            <w:pPr>
              <w:keepNext/>
              <w:spacing w:after="0" w:line="240" w:lineRule="auto"/>
              <w:jc w:val="center"/>
              <w:rPr>
                <w:rFonts w:ascii="Calibri" w:eastAsia="Times New Roman" w:hAnsi="Calibri" w:cs="Calibri"/>
                <w:b/>
                <w:bCs/>
                <w:color w:val="000000"/>
                <w:sz w:val="17"/>
                <w:szCs w:val="17"/>
                <w:lang w:eastAsia="sv-SE"/>
              </w:rPr>
            </w:pPr>
            <w:r w:rsidRPr="00132CB6">
              <w:rPr>
                <w:rFonts w:ascii="Calibri" w:eastAsia="Times New Roman" w:hAnsi="Calibri" w:cs="Calibri"/>
                <w:b/>
                <w:bCs/>
                <w:color w:val="000000"/>
                <w:sz w:val="17"/>
                <w:szCs w:val="17"/>
                <w:lang w:eastAsia="sv-SE"/>
              </w:rPr>
              <w:t>Papper eller plast</w:t>
            </w:r>
          </w:p>
        </w:tc>
        <w:tc>
          <w:tcPr>
            <w:tcW w:w="2194"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151C9DB5" w14:textId="77777777" w:rsidR="00132CB6" w:rsidRPr="00132CB6" w:rsidRDefault="00132CB6" w:rsidP="00931857">
            <w:pPr>
              <w:keepNext/>
              <w:spacing w:after="0" w:line="240" w:lineRule="auto"/>
              <w:jc w:val="center"/>
              <w:rPr>
                <w:rFonts w:ascii="Calibri" w:eastAsia="Times New Roman" w:hAnsi="Calibri" w:cs="Calibri"/>
                <w:b/>
                <w:bCs/>
                <w:color w:val="000000"/>
                <w:sz w:val="17"/>
                <w:szCs w:val="17"/>
                <w:lang w:eastAsia="sv-SE"/>
              </w:rPr>
            </w:pPr>
            <w:r w:rsidRPr="00132CB6">
              <w:rPr>
                <w:rFonts w:ascii="Calibri" w:eastAsia="Times New Roman" w:hAnsi="Calibri" w:cs="Calibri"/>
                <w:b/>
                <w:bCs/>
                <w:color w:val="000000"/>
                <w:sz w:val="17"/>
                <w:szCs w:val="17"/>
                <w:lang w:eastAsia="sv-SE"/>
              </w:rPr>
              <w:t>Metall, färgat eller ofärgat glas</w:t>
            </w:r>
          </w:p>
        </w:tc>
        <w:tc>
          <w:tcPr>
            <w:tcW w:w="160" w:type="dxa"/>
            <w:vAlign w:val="center"/>
            <w:hideMark/>
          </w:tcPr>
          <w:p w14:paraId="05DAD304" w14:textId="77777777" w:rsidR="00132CB6" w:rsidRPr="00132CB6" w:rsidRDefault="00132CB6" w:rsidP="00132CB6">
            <w:pPr>
              <w:spacing w:after="0" w:line="240" w:lineRule="auto"/>
              <w:rPr>
                <w:rFonts w:ascii="Times New Roman" w:eastAsia="Times New Roman" w:hAnsi="Times New Roman" w:cs="Times New Roman"/>
                <w:sz w:val="20"/>
                <w:szCs w:val="20"/>
                <w:lang w:eastAsia="sv-SE"/>
              </w:rPr>
            </w:pPr>
          </w:p>
        </w:tc>
      </w:tr>
      <w:tr w:rsidR="00132CB6" w:rsidRPr="00132CB6" w14:paraId="5052E9EA" w14:textId="77777777" w:rsidTr="00132CB6">
        <w:trPr>
          <w:trHeight w:val="288"/>
        </w:trPr>
        <w:tc>
          <w:tcPr>
            <w:tcW w:w="1239" w:type="dxa"/>
            <w:vMerge/>
            <w:tcBorders>
              <w:top w:val="nil"/>
              <w:left w:val="single" w:sz="4" w:space="0" w:color="FFFFFF"/>
              <w:bottom w:val="single" w:sz="4" w:space="0" w:color="FFFFFF"/>
              <w:right w:val="single" w:sz="4" w:space="0" w:color="FFFFFF"/>
            </w:tcBorders>
            <w:vAlign w:val="center"/>
            <w:hideMark/>
          </w:tcPr>
          <w:p w14:paraId="7E7325A5" w14:textId="77777777" w:rsidR="00132CB6" w:rsidRPr="00132CB6" w:rsidRDefault="00132CB6" w:rsidP="00931857">
            <w:pPr>
              <w:keepNext/>
              <w:spacing w:after="0" w:line="240" w:lineRule="auto"/>
              <w:rPr>
                <w:rFonts w:ascii="Calibri" w:eastAsia="Times New Roman" w:hAnsi="Calibri" w:cs="Calibri"/>
                <w:b/>
                <w:bCs/>
                <w:color w:val="000000"/>
                <w:sz w:val="17"/>
                <w:szCs w:val="17"/>
                <w:lang w:eastAsia="sv-SE"/>
              </w:rPr>
            </w:pPr>
          </w:p>
        </w:tc>
        <w:tc>
          <w:tcPr>
            <w:tcW w:w="2152" w:type="dxa"/>
            <w:vMerge/>
            <w:tcBorders>
              <w:top w:val="nil"/>
              <w:left w:val="nil"/>
              <w:bottom w:val="single" w:sz="4" w:space="0" w:color="FFFFFF"/>
              <w:right w:val="single" w:sz="4" w:space="0" w:color="FFFFFF"/>
            </w:tcBorders>
            <w:vAlign w:val="center"/>
            <w:hideMark/>
          </w:tcPr>
          <w:p w14:paraId="227817D0" w14:textId="77777777" w:rsidR="00132CB6" w:rsidRPr="00132CB6" w:rsidRDefault="00132CB6" w:rsidP="00931857">
            <w:pPr>
              <w:keepNext/>
              <w:spacing w:after="0" w:line="240" w:lineRule="auto"/>
              <w:rPr>
                <w:rFonts w:ascii="Calibri" w:eastAsia="Times New Roman" w:hAnsi="Calibri" w:cs="Calibri"/>
                <w:b/>
                <w:bCs/>
                <w:color w:val="000000"/>
                <w:sz w:val="17"/>
                <w:szCs w:val="17"/>
                <w:lang w:eastAsia="sv-SE"/>
              </w:rPr>
            </w:pPr>
          </w:p>
        </w:tc>
        <w:tc>
          <w:tcPr>
            <w:tcW w:w="1096" w:type="dxa"/>
            <w:tcBorders>
              <w:top w:val="nil"/>
              <w:left w:val="nil"/>
              <w:bottom w:val="single" w:sz="4" w:space="0" w:color="FFFFFF"/>
              <w:right w:val="single" w:sz="4" w:space="0" w:color="FFFFFF"/>
            </w:tcBorders>
            <w:shd w:val="clear" w:color="000000" w:fill="B7DEE8"/>
            <w:noWrap/>
            <w:vAlign w:val="center"/>
            <w:hideMark/>
          </w:tcPr>
          <w:p w14:paraId="74365D8D" w14:textId="77777777" w:rsidR="00132CB6" w:rsidRPr="00132CB6" w:rsidRDefault="00132CB6" w:rsidP="00931857">
            <w:pPr>
              <w:keepNext/>
              <w:spacing w:after="0" w:line="240" w:lineRule="auto"/>
              <w:rPr>
                <w:rFonts w:ascii="Calibri" w:eastAsia="Times New Roman" w:hAnsi="Calibri" w:cs="Calibri"/>
                <w:b/>
                <w:bCs/>
                <w:sz w:val="17"/>
                <w:szCs w:val="17"/>
                <w:lang w:eastAsia="sv-SE"/>
              </w:rPr>
            </w:pPr>
            <w:r w:rsidRPr="00132CB6">
              <w:rPr>
                <w:rFonts w:ascii="Calibri" w:eastAsia="Times New Roman" w:hAnsi="Calibri" w:cs="Calibri"/>
                <w:b/>
                <w:bCs/>
                <w:sz w:val="17"/>
                <w:szCs w:val="17"/>
                <w:lang w:eastAsia="sv-SE"/>
              </w:rPr>
              <w:t xml:space="preserve">Utan moms </w:t>
            </w:r>
          </w:p>
        </w:tc>
        <w:tc>
          <w:tcPr>
            <w:tcW w:w="1097" w:type="dxa"/>
            <w:tcBorders>
              <w:top w:val="nil"/>
              <w:left w:val="nil"/>
              <w:bottom w:val="single" w:sz="4" w:space="0" w:color="FFFFFF"/>
              <w:right w:val="single" w:sz="4" w:space="0" w:color="FFFFFF"/>
            </w:tcBorders>
            <w:shd w:val="clear" w:color="000000" w:fill="B7DEE8"/>
            <w:noWrap/>
            <w:vAlign w:val="center"/>
            <w:hideMark/>
          </w:tcPr>
          <w:p w14:paraId="64AFE601" w14:textId="77777777" w:rsidR="00132CB6" w:rsidRPr="00132CB6" w:rsidRDefault="00132CB6" w:rsidP="00931857">
            <w:pPr>
              <w:keepNext/>
              <w:spacing w:after="0" w:line="240" w:lineRule="auto"/>
              <w:rPr>
                <w:rFonts w:ascii="Calibri" w:eastAsia="Times New Roman" w:hAnsi="Calibri" w:cs="Calibri"/>
                <w:b/>
                <w:bCs/>
                <w:color w:val="000000"/>
                <w:sz w:val="17"/>
                <w:szCs w:val="17"/>
                <w:lang w:eastAsia="sv-SE"/>
              </w:rPr>
            </w:pPr>
            <w:r w:rsidRPr="00132CB6">
              <w:rPr>
                <w:rFonts w:ascii="Calibri" w:eastAsia="Times New Roman" w:hAnsi="Calibri" w:cs="Calibri"/>
                <w:b/>
                <w:bCs/>
                <w:color w:val="000000"/>
                <w:sz w:val="17"/>
                <w:szCs w:val="17"/>
                <w:lang w:eastAsia="sv-SE"/>
              </w:rPr>
              <w:t xml:space="preserve">Med moms </w:t>
            </w:r>
          </w:p>
        </w:tc>
        <w:tc>
          <w:tcPr>
            <w:tcW w:w="1097" w:type="dxa"/>
            <w:tcBorders>
              <w:top w:val="nil"/>
              <w:left w:val="nil"/>
              <w:bottom w:val="single" w:sz="4" w:space="0" w:color="FFFFFF"/>
              <w:right w:val="single" w:sz="4" w:space="0" w:color="FFFFFF"/>
            </w:tcBorders>
            <w:shd w:val="clear" w:color="000000" w:fill="B7DEE8"/>
            <w:noWrap/>
            <w:vAlign w:val="center"/>
            <w:hideMark/>
          </w:tcPr>
          <w:p w14:paraId="4B1790E6" w14:textId="77777777" w:rsidR="00132CB6" w:rsidRPr="00132CB6" w:rsidRDefault="00132CB6" w:rsidP="00931857">
            <w:pPr>
              <w:keepNext/>
              <w:spacing w:after="0" w:line="240" w:lineRule="auto"/>
              <w:rPr>
                <w:rFonts w:ascii="Calibri" w:eastAsia="Times New Roman" w:hAnsi="Calibri" w:cs="Calibri"/>
                <w:b/>
                <w:bCs/>
                <w:sz w:val="17"/>
                <w:szCs w:val="17"/>
                <w:lang w:eastAsia="sv-SE"/>
              </w:rPr>
            </w:pPr>
            <w:r w:rsidRPr="00132CB6">
              <w:rPr>
                <w:rFonts w:ascii="Calibri" w:eastAsia="Times New Roman" w:hAnsi="Calibri" w:cs="Calibri"/>
                <w:b/>
                <w:bCs/>
                <w:sz w:val="17"/>
                <w:szCs w:val="17"/>
                <w:lang w:eastAsia="sv-SE"/>
              </w:rPr>
              <w:t xml:space="preserve">Utan moms </w:t>
            </w:r>
          </w:p>
        </w:tc>
        <w:tc>
          <w:tcPr>
            <w:tcW w:w="1097" w:type="dxa"/>
            <w:tcBorders>
              <w:top w:val="nil"/>
              <w:left w:val="nil"/>
              <w:bottom w:val="single" w:sz="4" w:space="0" w:color="FFFFFF"/>
              <w:right w:val="single" w:sz="4" w:space="0" w:color="FFFFFF"/>
            </w:tcBorders>
            <w:shd w:val="clear" w:color="000000" w:fill="B7DEE8"/>
            <w:noWrap/>
            <w:vAlign w:val="center"/>
            <w:hideMark/>
          </w:tcPr>
          <w:p w14:paraId="621EADE8" w14:textId="77777777" w:rsidR="00132CB6" w:rsidRPr="00132CB6" w:rsidRDefault="00132CB6" w:rsidP="00931857">
            <w:pPr>
              <w:keepNext/>
              <w:spacing w:after="0" w:line="240" w:lineRule="auto"/>
              <w:rPr>
                <w:rFonts w:ascii="Calibri" w:eastAsia="Times New Roman" w:hAnsi="Calibri" w:cs="Calibri"/>
                <w:b/>
                <w:bCs/>
                <w:color w:val="000000"/>
                <w:sz w:val="17"/>
                <w:szCs w:val="17"/>
                <w:lang w:eastAsia="sv-SE"/>
              </w:rPr>
            </w:pPr>
            <w:r w:rsidRPr="00132CB6">
              <w:rPr>
                <w:rFonts w:ascii="Calibri" w:eastAsia="Times New Roman" w:hAnsi="Calibri" w:cs="Calibri"/>
                <w:b/>
                <w:bCs/>
                <w:color w:val="000000"/>
                <w:sz w:val="17"/>
                <w:szCs w:val="17"/>
                <w:lang w:eastAsia="sv-SE"/>
              </w:rPr>
              <w:t xml:space="preserve">Med moms </w:t>
            </w:r>
          </w:p>
        </w:tc>
        <w:tc>
          <w:tcPr>
            <w:tcW w:w="160" w:type="dxa"/>
            <w:vAlign w:val="center"/>
            <w:hideMark/>
          </w:tcPr>
          <w:p w14:paraId="4E027BC4" w14:textId="77777777" w:rsidR="00132CB6" w:rsidRPr="00132CB6" w:rsidRDefault="00132CB6" w:rsidP="00132CB6">
            <w:pPr>
              <w:spacing w:after="0" w:line="240" w:lineRule="auto"/>
              <w:rPr>
                <w:rFonts w:ascii="Times New Roman" w:eastAsia="Times New Roman" w:hAnsi="Times New Roman" w:cs="Times New Roman"/>
                <w:sz w:val="20"/>
                <w:szCs w:val="20"/>
                <w:lang w:eastAsia="sv-SE"/>
              </w:rPr>
            </w:pPr>
          </w:p>
        </w:tc>
      </w:tr>
      <w:tr w:rsidR="00132CB6" w:rsidRPr="00132CB6" w14:paraId="47DD6C4A" w14:textId="77777777" w:rsidTr="00132CB6">
        <w:trPr>
          <w:trHeight w:val="288"/>
        </w:trPr>
        <w:tc>
          <w:tcPr>
            <w:tcW w:w="1239" w:type="dxa"/>
            <w:vMerge w:val="restart"/>
            <w:tcBorders>
              <w:top w:val="nil"/>
              <w:left w:val="single" w:sz="4" w:space="0" w:color="FFFFFF"/>
              <w:bottom w:val="single" w:sz="4" w:space="0" w:color="FFFFFF"/>
              <w:right w:val="single" w:sz="4" w:space="0" w:color="FFFFFF"/>
            </w:tcBorders>
            <w:shd w:val="clear" w:color="000000" w:fill="DAEEF3"/>
            <w:hideMark/>
          </w:tcPr>
          <w:p w14:paraId="17E49C70" w14:textId="77777777" w:rsidR="00132CB6" w:rsidRPr="00132CB6" w:rsidRDefault="00132CB6" w:rsidP="00931857">
            <w:pPr>
              <w:keepNext/>
              <w:spacing w:after="0" w:line="240" w:lineRule="auto"/>
              <w:rPr>
                <w:rFonts w:ascii="Calibri" w:eastAsia="Times New Roman" w:hAnsi="Calibri" w:cs="Calibri"/>
                <w:sz w:val="17"/>
                <w:szCs w:val="17"/>
                <w:lang w:eastAsia="sv-SE"/>
              </w:rPr>
            </w:pPr>
            <w:r w:rsidRPr="00132CB6">
              <w:rPr>
                <w:rFonts w:ascii="Calibri" w:eastAsia="Times New Roman" w:hAnsi="Calibri" w:cs="Calibri"/>
                <w:sz w:val="17"/>
                <w:szCs w:val="17"/>
                <w:lang w:eastAsia="sv-SE"/>
              </w:rPr>
              <w:t>Kärl</w:t>
            </w:r>
          </w:p>
        </w:tc>
        <w:tc>
          <w:tcPr>
            <w:tcW w:w="2152" w:type="dxa"/>
            <w:tcBorders>
              <w:top w:val="nil"/>
              <w:left w:val="nil"/>
              <w:bottom w:val="single" w:sz="4" w:space="0" w:color="FFFFFF"/>
              <w:right w:val="single" w:sz="4" w:space="0" w:color="FFFFFF"/>
            </w:tcBorders>
            <w:shd w:val="clear" w:color="000000" w:fill="DAEEF3"/>
            <w:noWrap/>
            <w:hideMark/>
          </w:tcPr>
          <w:p w14:paraId="385233C7" w14:textId="77777777" w:rsidR="00132CB6" w:rsidRPr="00132CB6" w:rsidRDefault="00132CB6" w:rsidP="00931857">
            <w:pPr>
              <w:keepNext/>
              <w:spacing w:after="0" w:line="240" w:lineRule="auto"/>
              <w:rPr>
                <w:rFonts w:ascii="Calibri" w:eastAsia="Times New Roman" w:hAnsi="Calibri" w:cs="Calibri"/>
                <w:sz w:val="17"/>
                <w:szCs w:val="17"/>
                <w:lang w:eastAsia="sv-SE"/>
              </w:rPr>
            </w:pPr>
            <w:r w:rsidRPr="00132CB6">
              <w:rPr>
                <w:rFonts w:ascii="Calibri" w:eastAsia="Times New Roman" w:hAnsi="Calibri" w:cs="Calibri"/>
                <w:sz w:val="17"/>
                <w:szCs w:val="17"/>
                <w:lang w:eastAsia="sv-SE"/>
              </w:rPr>
              <w:t>Var 14:e dag eller mer sällan</w:t>
            </w:r>
          </w:p>
        </w:tc>
        <w:tc>
          <w:tcPr>
            <w:tcW w:w="1096" w:type="dxa"/>
            <w:tcBorders>
              <w:top w:val="nil"/>
              <w:left w:val="nil"/>
              <w:bottom w:val="single" w:sz="4" w:space="0" w:color="FFFFFF"/>
              <w:right w:val="single" w:sz="4" w:space="0" w:color="FFFFFF"/>
            </w:tcBorders>
            <w:shd w:val="clear" w:color="000000" w:fill="DAEEF3"/>
            <w:noWrap/>
            <w:hideMark/>
          </w:tcPr>
          <w:p w14:paraId="449930E2"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097" w:type="dxa"/>
            <w:tcBorders>
              <w:top w:val="nil"/>
              <w:left w:val="nil"/>
              <w:bottom w:val="single" w:sz="4" w:space="0" w:color="FFFFFF"/>
              <w:right w:val="single" w:sz="4" w:space="0" w:color="FFFFFF"/>
            </w:tcBorders>
            <w:shd w:val="clear" w:color="000000" w:fill="DAEEF3"/>
            <w:noWrap/>
            <w:hideMark/>
          </w:tcPr>
          <w:p w14:paraId="43F534E7"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097" w:type="dxa"/>
            <w:tcBorders>
              <w:top w:val="nil"/>
              <w:left w:val="nil"/>
              <w:bottom w:val="single" w:sz="4" w:space="0" w:color="FFFFFF"/>
              <w:right w:val="single" w:sz="4" w:space="0" w:color="FFFFFF"/>
            </w:tcBorders>
            <w:shd w:val="clear" w:color="000000" w:fill="DAEEF3"/>
            <w:noWrap/>
            <w:hideMark/>
          </w:tcPr>
          <w:p w14:paraId="30FB63DA"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097" w:type="dxa"/>
            <w:tcBorders>
              <w:top w:val="nil"/>
              <w:left w:val="nil"/>
              <w:bottom w:val="single" w:sz="4" w:space="0" w:color="FFFFFF"/>
              <w:right w:val="single" w:sz="4" w:space="0" w:color="FFFFFF"/>
            </w:tcBorders>
            <w:shd w:val="clear" w:color="000000" w:fill="DAEEF3"/>
            <w:noWrap/>
            <w:hideMark/>
          </w:tcPr>
          <w:p w14:paraId="3732652F"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60" w:type="dxa"/>
            <w:vAlign w:val="center"/>
            <w:hideMark/>
          </w:tcPr>
          <w:p w14:paraId="23607E63" w14:textId="77777777" w:rsidR="00132CB6" w:rsidRPr="00132CB6" w:rsidRDefault="00132CB6" w:rsidP="00132CB6">
            <w:pPr>
              <w:spacing w:after="0" w:line="240" w:lineRule="auto"/>
              <w:rPr>
                <w:rFonts w:ascii="Times New Roman" w:eastAsia="Times New Roman" w:hAnsi="Times New Roman" w:cs="Times New Roman"/>
                <w:sz w:val="20"/>
                <w:szCs w:val="20"/>
                <w:lang w:eastAsia="sv-SE"/>
              </w:rPr>
            </w:pPr>
          </w:p>
        </w:tc>
      </w:tr>
      <w:tr w:rsidR="00132CB6" w:rsidRPr="00132CB6" w14:paraId="52E361E5" w14:textId="77777777" w:rsidTr="00132CB6">
        <w:trPr>
          <w:trHeight w:val="288"/>
        </w:trPr>
        <w:tc>
          <w:tcPr>
            <w:tcW w:w="1239" w:type="dxa"/>
            <w:vMerge/>
            <w:tcBorders>
              <w:top w:val="nil"/>
              <w:left w:val="single" w:sz="4" w:space="0" w:color="FFFFFF"/>
              <w:bottom w:val="single" w:sz="4" w:space="0" w:color="FFFFFF"/>
              <w:right w:val="single" w:sz="4" w:space="0" w:color="FFFFFF"/>
            </w:tcBorders>
            <w:vAlign w:val="center"/>
            <w:hideMark/>
          </w:tcPr>
          <w:p w14:paraId="149021EF" w14:textId="77777777" w:rsidR="00132CB6" w:rsidRPr="00132CB6" w:rsidRDefault="00132CB6" w:rsidP="00931857">
            <w:pPr>
              <w:keepNext/>
              <w:spacing w:after="0" w:line="240" w:lineRule="auto"/>
              <w:rPr>
                <w:rFonts w:ascii="Calibri" w:eastAsia="Times New Roman" w:hAnsi="Calibri" w:cs="Calibri"/>
                <w:sz w:val="17"/>
                <w:szCs w:val="17"/>
                <w:lang w:eastAsia="sv-SE"/>
              </w:rPr>
            </w:pPr>
          </w:p>
        </w:tc>
        <w:tc>
          <w:tcPr>
            <w:tcW w:w="2152" w:type="dxa"/>
            <w:tcBorders>
              <w:top w:val="nil"/>
              <w:left w:val="nil"/>
              <w:bottom w:val="single" w:sz="4" w:space="0" w:color="FFFFFF"/>
              <w:right w:val="single" w:sz="4" w:space="0" w:color="FFFFFF"/>
            </w:tcBorders>
            <w:shd w:val="clear" w:color="000000" w:fill="DAEEF3"/>
            <w:noWrap/>
            <w:hideMark/>
          </w:tcPr>
          <w:p w14:paraId="78729980" w14:textId="77777777" w:rsidR="00132CB6" w:rsidRPr="00132CB6" w:rsidRDefault="00132CB6" w:rsidP="00931857">
            <w:pPr>
              <w:keepNext/>
              <w:spacing w:after="0" w:line="240" w:lineRule="auto"/>
              <w:rPr>
                <w:rFonts w:ascii="Calibri" w:eastAsia="Times New Roman" w:hAnsi="Calibri" w:cs="Calibri"/>
                <w:sz w:val="17"/>
                <w:szCs w:val="17"/>
                <w:lang w:eastAsia="sv-SE"/>
              </w:rPr>
            </w:pPr>
            <w:r w:rsidRPr="00132CB6">
              <w:rPr>
                <w:rFonts w:ascii="Calibri" w:eastAsia="Times New Roman" w:hAnsi="Calibri" w:cs="Calibri"/>
                <w:sz w:val="17"/>
                <w:szCs w:val="17"/>
                <w:lang w:eastAsia="sv-SE"/>
              </w:rPr>
              <w:t>1 gång/vecka</w:t>
            </w:r>
          </w:p>
        </w:tc>
        <w:tc>
          <w:tcPr>
            <w:tcW w:w="1096" w:type="dxa"/>
            <w:tcBorders>
              <w:top w:val="nil"/>
              <w:left w:val="nil"/>
              <w:bottom w:val="single" w:sz="4" w:space="0" w:color="FFFFFF"/>
              <w:right w:val="single" w:sz="4" w:space="0" w:color="FFFFFF"/>
            </w:tcBorders>
            <w:shd w:val="clear" w:color="000000" w:fill="DAEEF3"/>
            <w:noWrap/>
            <w:hideMark/>
          </w:tcPr>
          <w:p w14:paraId="5F77AEDF"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097" w:type="dxa"/>
            <w:tcBorders>
              <w:top w:val="nil"/>
              <w:left w:val="nil"/>
              <w:bottom w:val="single" w:sz="4" w:space="0" w:color="FFFFFF"/>
              <w:right w:val="single" w:sz="4" w:space="0" w:color="FFFFFF"/>
            </w:tcBorders>
            <w:shd w:val="clear" w:color="000000" w:fill="DAEEF3"/>
            <w:noWrap/>
            <w:hideMark/>
          </w:tcPr>
          <w:p w14:paraId="0D7C8618"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097" w:type="dxa"/>
            <w:tcBorders>
              <w:top w:val="nil"/>
              <w:left w:val="nil"/>
              <w:bottom w:val="single" w:sz="4" w:space="0" w:color="FFFFFF"/>
              <w:right w:val="single" w:sz="4" w:space="0" w:color="FFFFFF"/>
            </w:tcBorders>
            <w:shd w:val="clear" w:color="000000" w:fill="DAEEF3"/>
            <w:noWrap/>
            <w:hideMark/>
          </w:tcPr>
          <w:p w14:paraId="7D30FB77"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43 </w:t>
            </w:r>
          </w:p>
        </w:tc>
        <w:tc>
          <w:tcPr>
            <w:tcW w:w="1097" w:type="dxa"/>
            <w:tcBorders>
              <w:top w:val="nil"/>
              <w:left w:val="nil"/>
              <w:bottom w:val="single" w:sz="4" w:space="0" w:color="FFFFFF"/>
              <w:right w:val="single" w:sz="4" w:space="0" w:color="FFFFFF"/>
            </w:tcBorders>
            <w:shd w:val="clear" w:color="000000" w:fill="DAEEF3"/>
            <w:noWrap/>
            <w:hideMark/>
          </w:tcPr>
          <w:p w14:paraId="5B2BFFA3"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54 </w:t>
            </w:r>
          </w:p>
        </w:tc>
        <w:tc>
          <w:tcPr>
            <w:tcW w:w="160" w:type="dxa"/>
            <w:vAlign w:val="center"/>
            <w:hideMark/>
          </w:tcPr>
          <w:p w14:paraId="41FAF059" w14:textId="77777777" w:rsidR="00132CB6" w:rsidRPr="00132CB6" w:rsidRDefault="00132CB6" w:rsidP="00132CB6">
            <w:pPr>
              <w:spacing w:after="0" w:line="240" w:lineRule="auto"/>
              <w:rPr>
                <w:rFonts w:ascii="Times New Roman" w:eastAsia="Times New Roman" w:hAnsi="Times New Roman" w:cs="Times New Roman"/>
                <w:sz w:val="20"/>
                <w:szCs w:val="20"/>
                <w:lang w:eastAsia="sv-SE"/>
              </w:rPr>
            </w:pPr>
          </w:p>
        </w:tc>
      </w:tr>
      <w:tr w:rsidR="00132CB6" w:rsidRPr="00132CB6" w14:paraId="5BD40572" w14:textId="77777777" w:rsidTr="00132CB6">
        <w:trPr>
          <w:trHeight w:val="288"/>
        </w:trPr>
        <w:tc>
          <w:tcPr>
            <w:tcW w:w="1239" w:type="dxa"/>
            <w:vMerge/>
            <w:tcBorders>
              <w:top w:val="nil"/>
              <w:left w:val="single" w:sz="4" w:space="0" w:color="FFFFFF"/>
              <w:bottom w:val="single" w:sz="4" w:space="0" w:color="FFFFFF"/>
              <w:right w:val="single" w:sz="4" w:space="0" w:color="FFFFFF"/>
            </w:tcBorders>
            <w:vAlign w:val="center"/>
            <w:hideMark/>
          </w:tcPr>
          <w:p w14:paraId="782F66AE" w14:textId="77777777" w:rsidR="00132CB6" w:rsidRPr="00132CB6" w:rsidRDefault="00132CB6" w:rsidP="00931857">
            <w:pPr>
              <w:keepNext/>
              <w:spacing w:after="0" w:line="240" w:lineRule="auto"/>
              <w:rPr>
                <w:rFonts w:ascii="Calibri" w:eastAsia="Times New Roman" w:hAnsi="Calibri" w:cs="Calibri"/>
                <w:sz w:val="17"/>
                <w:szCs w:val="17"/>
                <w:lang w:eastAsia="sv-SE"/>
              </w:rPr>
            </w:pPr>
          </w:p>
        </w:tc>
        <w:tc>
          <w:tcPr>
            <w:tcW w:w="2152" w:type="dxa"/>
            <w:tcBorders>
              <w:top w:val="nil"/>
              <w:left w:val="nil"/>
              <w:bottom w:val="single" w:sz="4" w:space="0" w:color="FFFFFF"/>
              <w:right w:val="single" w:sz="4" w:space="0" w:color="FFFFFF"/>
            </w:tcBorders>
            <w:shd w:val="clear" w:color="000000" w:fill="DAEEF3"/>
            <w:noWrap/>
            <w:hideMark/>
          </w:tcPr>
          <w:p w14:paraId="4D830EE8" w14:textId="59179818" w:rsidR="00132CB6" w:rsidRPr="00132CB6" w:rsidRDefault="00132CB6" w:rsidP="00931857">
            <w:pPr>
              <w:keepNext/>
              <w:spacing w:after="0" w:line="240" w:lineRule="auto"/>
              <w:rPr>
                <w:rFonts w:ascii="Calibri" w:eastAsia="Times New Roman" w:hAnsi="Calibri" w:cs="Calibri"/>
                <w:sz w:val="17"/>
                <w:szCs w:val="17"/>
                <w:lang w:eastAsia="sv-SE"/>
              </w:rPr>
            </w:pPr>
            <w:r w:rsidRPr="00132CB6">
              <w:rPr>
                <w:rFonts w:ascii="Calibri" w:eastAsia="Times New Roman" w:hAnsi="Calibri" w:cs="Calibri"/>
                <w:sz w:val="17"/>
                <w:szCs w:val="17"/>
                <w:lang w:eastAsia="sv-SE"/>
              </w:rPr>
              <w:t>2–7 gånger/vecka*</w:t>
            </w:r>
          </w:p>
        </w:tc>
        <w:tc>
          <w:tcPr>
            <w:tcW w:w="1096" w:type="dxa"/>
            <w:tcBorders>
              <w:top w:val="nil"/>
              <w:left w:val="nil"/>
              <w:bottom w:val="single" w:sz="4" w:space="0" w:color="FFFFFF"/>
              <w:right w:val="single" w:sz="4" w:space="0" w:color="FFFFFF"/>
            </w:tcBorders>
            <w:shd w:val="clear" w:color="000000" w:fill="DAEEF3"/>
            <w:noWrap/>
            <w:hideMark/>
          </w:tcPr>
          <w:p w14:paraId="37DFB120"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86 </w:t>
            </w:r>
          </w:p>
        </w:tc>
        <w:tc>
          <w:tcPr>
            <w:tcW w:w="1097" w:type="dxa"/>
            <w:tcBorders>
              <w:top w:val="nil"/>
              <w:left w:val="nil"/>
              <w:bottom w:val="single" w:sz="4" w:space="0" w:color="FFFFFF"/>
              <w:right w:val="single" w:sz="4" w:space="0" w:color="FFFFFF"/>
            </w:tcBorders>
            <w:shd w:val="clear" w:color="000000" w:fill="DAEEF3"/>
            <w:noWrap/>
            <w:hideMark/>
          </w:tcPr>
          <w:p w14:paraId="1B9AE01C"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108 </w:t>
            </w:r>
          </w:p>
        </w:tc>
        <w:tc>
          <w:tcPr>
            <w:tcW w:w="1097" w:type="dxa"/>
            <w:tcBorders>
              <w:top w:val="nil"/>
              <w:left w:val="nil"/>
              <w:bottom w:val="single" w:sz="4" w:space="0" w:color="FFFFFF"/>
              <w:right w:val="single" w:sz="4" w:space="0" w:color="FFFFFF"/>
            </w:tcBorders>
            <w:shd w:val="clear" w:color="000000" w:fill="DAEEF3"/>
            <w:noWrap/>
            <w:hideMark/>
          </w:tcPr>
          <w:p w14:paraId="1F945097"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86 </w:t>
            </w:r>
          </w:p>
        </w:tc>
        <w:tc>
          <w:tcPr>
            <w:tcW w:w="1097" w:type="dxa"/>
            <w:tcBorders>
              <w:top w:val="nil"/>
              <w:left w:val="nil"/>
              <w:bottom w:val="single" w:sz="4" w:space="0" w:color="FFFFFF"/>
              <w:right w:val="single" w:sz="4" w:space="0" w:color="FFFFFF"/>
            </w:tcBorders>
            <w:shd w:val="clear" w:color="000000" w:fill="DAEEF3"/>
            <w:noWrap/>
            <w:hideMark/>
          </w:tcPr>
          <w:p w14:paraId="17E47019"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108 </w:t>
            </w:r>
          </w:p>
        </w:tc>
        <w:tc>
          <w:tcPr>
            <w:tcW w:w="160" w:type="dxa"/>
            <w:vAlign w:val="center"/>
            <w:hideMark/>
          </w:tcPr>
          <w:p w14:paraId="31AD2E3F" w14:textId="77777777" w:rsidR="00132CB6" w:rsidRPr="00132CB6" w:rsidRDefault="00132CB6" w:rsidP="00132CB6">
            <w:pPr>
              <w:spacing w:after="0" w:line="240" w:lineRule="auto"/>
              <w:rPr>
                <w:rFonts w:ascii="Times New Roman" w:eastAsia="Times New Roman" w:hAnsi="Times New Roman" w:cs="Times New Roman"/>
                <w:sz w:val="20"/>
                <w:szCs w:val="20"/>
                <w:lang w:eastAsia="sv-SE"/>
              </w:rPr>
            </w:pPr>
          </w:p>
        </w:tc>
      </w:tr>
      <w:tr w:rsidR="00132CB6" w:rsidRPr="00132CB6" w14:paraId="5482B6AA" w14:textId="77777777" w:rsidTr="00132CB6">
        <w:trPr>
          <w:trHeight w:val="288"/>
        </w:trPr>
        <w:tc>
          <w:tcPr>
            <w:tcW w:w="1239" w:type="dxa"/>
            <w:tcBorders>
              <w:top w:val="nil"/>
              <w:left w:val="single" w:sz="4" w:space="0" w:color="FFFFFF"/>
              <w:bottom w:val="single" w:sz="4" w:space="0" w:color="FFFFFF"/>
              <w:right w:val="single" w:sz="4" w:space="0" w:color="FFFFFF"/>
            </w:tcBorders>
            <w:shd w:val="clear" w:color="000000" w:fill="DAEEF3"/>
            <w:noWrap/>
            <w:hideMark/>
          </w:tcPr>
          <w:p w14:paraId="6FE1C918" w14:textId="77777777" w:rsidR="00132CB6" w:rsidRPr="00132CB6" w:rsidRDefault="00132CB6" w:rsidP="00931857">
            <w:pPr>
              <w:keepNext/>
              <w:spacing w:after="0" w:line="240" w:lineRule="auto"/>
              <w:rPr>
                <w:rFonts w:ascii="Calibri" w:eastAsia="Times New Roman" w:hAnsi="Calibri" w:cs="Calibri"/>
                <w:sz w:val="17"/>
                <w:szCs w:val="17"/>
                <w:lang w:eastAsia="sv-SE"/>
              </w:rPr>
            </w:pPr>
            <w:r w:rsidRPr="00132CB6">
              <w:rPr>
                <w:rFonts w:ascii="Calibri" w:eastAsia="Times New Roman" w:hAnsi="Calibri" w:cs="Calibri"/>
                <w:sz w:val="17"/>
                <w:szCs w:val="17"/>
                <w:lang w:eastAsia="sv-SE"/>
              </w:rPr>
              <w:t xml:space="preserve">Markbehållare </w:t>
            </w:r>
          </w:p>
        </w:tc>
        <w:tc>
          <w:tcPr>
            <w:tcW w:w="2152" w:type="dxa"/>
            <w:tcBorders>
              <w:top w:val="nil"/>
              <w:left w:val="nil"/>
              <w:bottom w:val="single" w:sz="4" w:space="0" w:color="FFFFFF"/>
              <w:right w:val="single" w:sz="4" w:space="0" w:color="FFFFFF"/>
            </w:tcBorders>
            <w:shd w:val="clear" w:color="000000" w:fill="DAEEF3"/>
            <w:noWrap/>
            <w:hideMark/>
          </w:tcPr>
          <w:p w14:paraId="43EC8006" w14:textId="6D940498" w:rsidR="00132CB6" w:rsidRPr="00132CB6" w:rsidRDefault="00674687" w:rsidP="00931857">
            <w:pPr>
              <w:keepNext/>
              <w:spacing w:after="0" w:line="240" w:lineRule="auto"/>
              <w:rPr>
                <w:rFonts w:ascii="Calibri" w:eastAsia="Times New Roman" w:hAnsi="Calibri" w:cs="Calibri"/>
                <w:sz w:val="17"/>
                <w:szCs w:val="17"/>
                <w:lang w:eastAsia="sv-SE"/>
              </w:rPr>
            </w:pPr>
            <w:r>
              <w:rPr>
                <w:rFonts w:ascii="Calibri" w:eastAsia="Times New Roman" w:hAnsi="Calibri" w:cs="Calibri"/>
                <w:sz w:val="17"/>
                <w:szCs w:val="17"/>
                <w:lang w:eastAsia="sv-SE"/>
              </w:rPr>
              <w:t>Alla</w:t>
            </w:r>
          </w:p>
        </w:tc>
        <w:tc>
          <w:tcPr>
            <w:tcW w:w="1096" w:type="dxa"/>
            <w:tcBorders>
              <w:top w:val="nil"/>
              <w:left w:val="nil"/>
              <w:bottom w:val="single" w:sz="4" w:space="0" w:color="FFFFFF"/>
              <w:right w:val="single" w:sz="4" w:space="0" w:color="FFFFFF"/>
            </w:tcBorders>
            <w:shd w:val="clear" w:color="000000" w:fill="DAEEF3"/>
            <w:noWrap/>
            <w:hideMark/>
          </w:tcPr>
          <w:p w14:paraId="62F84C01"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097" w:type="dxa"/>
            <w:tcBorders>
              <w:top w:val="nil"/>
              <w:left w:val="nil"/>
              <w:bottom w:val="single" w:sz="4" w:space="0" w:color="FFFFFF"/>
              <w:right w:val="single" w:sz="4" w:space="0" w:color="FFFFFF"/>
            </w:tcBorders>
            <w:shd w:val="clear" w:color="000000" w:fill="DAEEF3"/>
            <w:noWrap/>
            <w:hideMark/>
          </w:tcPr>
          <w:p w14:paraId="6A88BCCB"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097" w:type="dxa"/>
            <w:tcBorders>
              <w:top w:val="nil"/>
              <w:left w:val="nil"/>
              <w:bottom w:val="single" w:sz="4" w:space="0" w:color="FFFFFF"/>
              <w:right w:val="single" w:sz="4" w:space="0" w:color="FFFFFF"/>
            </w:tcBorders>
            <w:shd w:val="clear" w:color="000000" w:fill="DAEEF3"/>
            <w:noWrap/>
            <w:hideMark/>
          </w:tcPr>
          <w:p w14:paraId="1ABFB04F"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097" w:type="dxa"/>
            <w:tcBorders>
              <w:top w:val="nil"/>
              <w:left w:val="nil"/>
              <w:bottom w:val="single" w:sz="4" w:space="0" w:color="FFFFFF"/>
              <w:right w:val="single" w:sz="4" w:space="0" w:color="FFFFFF"/>
            </w:tcBorders>
            <w:shd w:val="clear" w:color="000000" w:fill="DAEEF3"/>
            <w:noWrap/>
            <w:hideMark/>
          </w:tcPr>
          <w:p w14:paraId="46DB8424"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60" w:type="dxa"/>
            <w:vAlign w:val="center"/>
            <w:hideMark/>
          </w:tcPr>
          <w:p w14:paraId="6E6930D1" w14:textId="77777777" w:rsidR="00132CB6" w:rsidRPr="00132CB6" w:rsidRDefault="00132CB6" w:rsidP="00132CB6">
            <w:pPr>
              <w:spacing w:after="0" w:line="240" w:lineRule="auto"/>
              <w:rPr>
                <w:rFonts w:ascii="Times New Roman" w:eastAsia="Times New Roman" w:hAnsi="Times New Roman" w:cs="Times New Roman"/>
                <w:sz w:val="20"/>
                <w:szCs w:val="20"/>
                <w:lang w:eastAsia="sv-SE"/>
              </w:rPr>
            </w:pPr>
          </w:p>
        </w:tc>
      </w:tr>
      <w:tr w:rsidR="00132CB6" w:rsidRPr="00132CB6" w14:paraId="6B25B5F4" w14:textId="77777777" w:rsidTr="00132CB6">
        <w:trPr>
          <w:trHeight w:val="288"/>
        </w:trPr>
        <w:tc>
          <w:tcPr>
            <w:tcW w:w="1239" w:type="dxa"/>
            <w:tcBorders>
              <w:top w:val="nil"/>
              <w:left w:val="single" w:sz="4" w:space="0" w:color="FFFFFF"/>
              <w:bottom w:val="single" w:sz="4" w:space="0" w:color="FFFFFF"/>
              <w:right w:val="single" w:sz="4" w:space="0" w:color="FFFFFF"/>
            </w:tcBorders>
            <w:shd w:val="clear" w:color="000000" w:fill="DAEEF3"/>
            <w:noWrap/>
            <w:hideMark/>
          </w:tcPr>
          <w:p w14:paraId="35A67199" w14:textId="77777777" w:rsidR="00132CB6" w:rsidRPr="00132CB6" w:rsidRDefault="00132CB6" w:rsidP="00931857">
            <w:pPr>
              <w:keepNext/>
              <w:spacing w:after="0" w:line="240" w:lineRule="auto"/>
              <w:rPr>
                <w:rFonts w:ascii="Calibri" w:eastAsia="Times New Roman" w:hAnsi="Calibri" w:cs="Calibri"/>
                <w:sz w:val="17"/>
                <w:szCs w:val="17"/>
                <w:lang w:eastAsia="sv-SE"/>
              </w:rPr>
            </w:pPr>
            <w:r w:rsidRPr="00132CB6">
              <w:rPr>
                <w:rFonts w:ascii="Calibri" w:eastAsia="Times New Roman" w:hAnsi="Calibri" w:cs="Calibri"/>
                <w:sz w:val="17"/>
                <w:szCs w:val="17"/>
                <w:lang w:eastAsia="sv-SE"/>
              </w:rPr>
              <w:t>Container</w:t>
            </w:r>
          </w:p>
        </w:tc>
        <w:tc>
          <w:tcPr>
            <w:tcW w:w="2152" w:type="dxa"/>
            <w:tcBorders>
              <w:top w:val="nil"/>
              <w:left w:val="nil"/>
              <w:bottom w:val="single" w:sz="4" w:space="0" w:color="FFFFFF"/>
              <w:right w:val="single" w:sz="4" w:space="0" w:color="FFFFFF"/>
            </w:tcBorders>
            <w:shd w:val="clear" w:color="000000" w:fill="DAEEF3"/>
            <w:noWrap/>
            <w:hideMark/>
          </w:tcPr>
          <w:p w14:paraId="4D60CC41" w14:textId="0D9514C5" w:rsidR="00132CB6" w:rsidRPr="00132CB6" w:rsidRDefault="00674687" w:rsidP="00931857">
            <w:pPr>
              <w:keepNext/>
              <w:spacing w:after="0" w:line="240" w:lineRule="auto"/>
              <w:rPr>
                <w:rFonts w:ascii="Calibri" w:eastAsia="Times New Roman" w:hAnsi="Calibri" w:cs="Calibri"/>
                <w:sz w:val="17"/>
                <w:szCs w:val="17"/>
                <w:lang w:eastAsia="sv-SE"/>
              </w:rPr>
            </w:pPr>
            <w:r>
              <w:rPr>
                <w:rFonts w:ascii="Calibri" w:eastAsia="Times New Roman" w:hAnsi="Calibri" w:cs="Calibri"/>
                <w:sz w:val="17"/>
                <w:szCs w:val="17"/>
                <w:lang w:eastAsia="sv-SE"/>
              </w:rPr>
              <w:t>Alla</w:t>
            </w:r>
          </w:p>
        </w:tc>
        <w:tc>
          <w:tcPr>
            <w:tcW w:w="1096" w:type="dxa"/>
            <w:tcBorders>
              <w:top w:val="nil"/>
              <w:left w:val="nil"/>
              <w:bottom w:val="single" w:sz="4" w:space="0" w:color="FFFFFF"/>
              <w:right w:val="single" w:sz="4" w:space="0" w:color="FFFFFF"/>
            </w:tcBorders>
            <w:shd w:val="clear" w:color="000000" w:fill="DAEEF3"/>
            <w:noWrap/>
            <w:hideMark/>
          </w:tcPr>
          <w:p w14:paraId="1588B301"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097" w:type="dxa"/>
            <w:tcBorders>
              <w:top w:val="nil"/>
              <w:left w:val="nil"/>
              <w:bottom w:val="single" w:sz="4" w:space="0" w:color="FFFFFF"/>
              <w:right w:val="single" w:sz="4" w:space="0" w:color="FFFFFF"/>
            </w:tcBorders>
            <w:shd w:val="clear" w:color="000000" w:fill="DAEEF3"/>
            <w:noWrap/>
            <w:hideMark/>
          </w:tcPr>
          <w:p w14:paraId="3847FB97"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097" w:type="dxa"/>
            <w:tcBorders>
              <w:top w:val="nil"/>
              <w:left w:val="nil"/>
              <w:bottom w:val="single" w:sz="4" w:space="0" w:color="FFFFFF"/>
              <w:right w:val="single" w:sz="4" w:space="0" w:color="FFFFFF"/>
            </w:tcBorders>
            <w:shd w:val="clear" w:color="000000" w:fill="DAEEF3"/>
            <w:noWrap/>
            <w:hideMark/>
          </w:tcPr>
          <w:p w14:paraId="3C8B9B9C"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097" w:type="dxa"/>
            <w:tcBorders>
              <w:top w:val="nil"/>
              <w:left w:val="nil"/>
              <w:bottom w:val="single" w:sz="4" w:space="0" w:color="FFFFFF"/>
              <w:right w:val="single" w:sz="4" w:space="0" w:color="FFFFFF"/>
            </w:tcBorders>
            <w:shd w:val="clear" w:color="000000" w:fill="DAEEF3"/>
            <w:noWrap/>
            <w:hideMark/>
          </w:tcPr>
          <w:p w14:paraId="52DD7BA6" w14:textId="77777777" w:rsidR="00132CB6" w:rsidRPr="00132CB6" w:rsidRDefault="00132CB6" w:rsidP="00931857">
            <w:pPr>
              <w:keepNext/>
              <w:spacing w:after="0" w:line="240" w:lineRule="auto"/>
              <w:jc w:val="right"/>
              <w:rPr>
                <w:rFonts w:ascii="Calibri" w:eastAsia="Times New Roman" w:hAnsi="Calibri" w:cs="Calibri"/>
                <w:color w:val="000000"/>
                <w:sz w:val="17"/>
                <w:szCs w:val="17"/>
                <w:lang w:eastAsia="sv-SE"/>
              </w:rPr>
            </w:pPr>
            <w:r w:rsidRPr="00132CB6">
              <w:rPr>
                <w:rFonts w:ascii="Calibri" w:eastAsia="Times New Roman" w:hAnsi="Calibri" w:cs="Calibri"/>
                <w:color w:val="000000"/>
                <w:sz w:val="17"/>
                <w:szCs w:val="17"/>
                <w:lang w:eastAsia="sv-SE"/>
              </w:rPr>
              <w:t xml:space="preserve">0 </w:t>
            </w:r>
          </w:p>
        </w:tc>
        <w:tc>
          <w:tcPr>
            <w:tcW w:w="160" w:type="dxa"/>
            <w:vAlign w:val="center"/>
            <w:hideMark/>
          </w:tcPr>
          <w:p w14:paraId="15DD7031" w14:textId="77777777" w:rsidR="00132CB6" w:rsidRPr="00132CB6" w:rsidRDefault="00132CB6" w:rsidP="00132CB6">
            <w:pPr>
              <w:spacing w:after="0" w:line="240" w:lineRule="auto"/>
              <w:rPr>
                <w:rFonts w:ascii="Times New Roman" w:eastAsia="Times New Roman" w:hAnsi="Times New Roman" w:cs="Times New Roman"/>
                <w:sz w:val="20"/>
                <w:szCs w:val="20"/>
                <w:lang w:eastAsia="sv-SE"/>
              </w:rPr>
            </w:pPr>
          </w:p>
        </w:tc>
      </w:tr>
    </w:tbl>
    <w:p w14:paraId="65E3E638" w14:textId="77777777" w:rsidR="00132CB6" w:rsidRPr="00BA0456" w:rsidRDefault="00132CB6" w:rsidP="00132CB6">
      <w:pPr>
        <w:spacing w:line="240" w:lineRule="auto"/>
        <w:rPr>
          <w:sz w:val="10"/>
          <w:szCs w:val="12"/>
        </w:rPr>
      </w:pPr>
      <w:r w:rsidRPr="00DB44FE">
        <w:rPr>
          <w:sz w:val="17"/>
          <w:szCs w:val="17"/>
        </w:rPr>
        <w:t>*</w:t>
      </w:r>
      <w:r>
        <w:rPr>
          <w:sz w:val="17"/>
          <w:szCs w:val="17"/>
        </w:rPr>
        <w:t>Första</w:t>
      </w:r>
      <w:r w:rsidRPr="00DB44FE">
        <w:rPr>
          <w:sz w:val="17"/>
          <w:szCs w:val="17"/>
        </w:rPr>
        <w:t xml:space="preserve"> tömning</w:t>
      </w:r>
      <w:r>
        <w:rPr>
          <w:sz w:val="17"/>
          <w:szCs w:val="17"/>
        </w:rPr>
        <w:t>en</w:t>
      </w:r>
      <w:r w:rsidRPr="00DB44FE">
        <w:rPr>
          <w:sz w:val="17"/>
          <w:szCs w:val="17"/>
        </w:rPr>
        <w:t xml:space="preserve"> per vecka debiteras enligt </w:t>
      </w:r>
      <w:r>
        <w:rPr>
          <w:sz w:val="17"/>
          <w:szCs w:val="17"/>
        </w:rPr>
        <w:t>avgiften</w:t>
      </w:r>
      <w:r w:rsidRPr="00DB44FE">
        <w:rPr>
          <w:sz w:val="17"/>
          <w:szCs w:val="17"/>
        </w:rPr>
        <w:t xml:space="preserve"> för 1 gång/vecka och ytterligare tömningar </w:t>
      </w:r>
      <w:r>
        <w:rPr>
          <w:sz w:val="17"/>
          <w:szCs w:val="17"/>
        </w:rPr>
        <w:t>samma vecka debiteras med avgiften för 2–7 gånger/vecka</w:t>
      </w:r>
    </w:p>
    <w:p w14:paraId="2D0264E4" w14:textId="47635ADF" w:rsidR="008C0B6F" w:rsidRPr="003346FC" w:rsidRDefault="003346FC" w:rsidP="0010722B">
      <w:pPr>
        <w:rPr>
          <w:sz w:val="24"/>
          <w:szCs w:val="28"/>
          <w:lang w:eastAsia="sv-SE"/>
        </w:rPr>
      </w:pPr>
      <w:r w:rsidRPr="003346FC">
        <w:rPr>
          <w:sz w:val="24"/>
          <w:szCs w:val="28"/>
          <w:lang w:eastAsia="sv-SE"/>
        </w:rPr>
        <w:t xml:space="preserve">Förslaget för avgift för förpackningsinsamling skiljer sig inte mellan de två taxeförslagen. </w:t>
      </w:r>
    </w:p>
    <w:p w14:paraId="5873D86F" w14:textId="11624AD5" w:rsidR="008C0B6F" w:rsidRPr="008C0B6F" w:rsidRDefault="008C0B6F" w:rsidP="00132CB6">
      <w:pPr>
        <w:pStyle w:val="Rubrik4"/>
        <w:rPr>
          <w:lang w:eastAsia="sv-SE"/>
        </w:rPr>
      </w:pPr>
      <w:r w:rsidRPr="008C0B6F">
        <w:rPr>
          <w:lang w:eastAsia="sv-SE"/>
        </w:rPr>
        <w:t>Grovavfall med bärhjälp</w:t>
      </w:r>
    </w:p>
    <w:p w14:paraId="254A7F70" w14:textId="3C1D6EC1" w:rsidR="0010722B" w:rsidRPr="003346FC" w:rsidRDefault="0010722B" w:rsidP="0010722B">
      <w:pPr>
        <w:rPr>
          <w:sz w:val="24"/>
          <w:szCs w:val="28"/>
          <w:lang w:eastAsia="sv-SE"/>
        </w:rPr>
      </w:pPr>
      <w:r w:rsidRPr="003346FC">
        <w:rPr>
          <w:sz w:val="24"/>
          <w:szCs w:val="28"/>
          <w:lang w:eastAsia="sv-SE"/>
        </w:rPr>
        <w:t xml:space="preserve">Avgifter för tjänster som avser hämtning av sorterat grovavfall med bärhjälp föreslås </w:t>
      </w:r>
      <w:r w:rsidR="00132CB6">
        <w:rPr>
          <w:sz w:val="24"/>
          <w:szCs w:val="28"/>
          <w:lang w:eastAsia="sv-SE"/>
        </w:rPr>
        <w:t>ligga kvar på 2023 års nivå i båda alternativen</w:t>
      </w:r>
      <w:r w:rsidRPr="003346FC">
        <w:rPr>
          <w:sz w:val="24"/>
          <w:szCs w:val="28"/>
          <w:lang w:eastAsia="sv-SE"/>
        </w:rPr>
        <w:t>. Auktorisationsavtalen med de avfallshämtare som erbjuder dessa innehåller inga klausuler om uppräkningar under avtalsperioden</w:t>
      </w:r>
      <w:r w:rsidR="003346FC">
        <w:rPr>
          <w:sz w:val="24"/>
          <w:szCs w:val="28"/>
          <w:lang w:eastAsia="sv-SE"/>
        </w:rPr>
        <w:t xml:space="preserve"> och förvaltningen föreslår därför </w:t>
      </w:r>
      <w:r w:rsidR="00132CB6">
        <w:rPr>
          <w:sz w:val="24"/>
          <w:szCs w:val="28"/>
          <w:lang w:eastAsia="sv-SE"/>
        </w:rPr>
        <w:t>ingen uppräkning av dessa avgifter</w:t>
      </w:r>
      <w:r w:rsidRPr="003346FC">
        <w:rPr>
          <w:sz w:val="24"/>
          <w:szCs w:val="28"/>
          <w:lang w:eastAsia="sv-SE"/>
        </w:rPr>
        <w:t>. Eftersom dessa tjänster beställs av och betalas direkt till de auktorisade avfallshämtarna påverkas inte taxeintäkten</w:t>
      </w:r>
      <w:r w:rsidR="003346FC">
        <w:rPr>
          <w:sz w:val="24"/>
          <w:szCs w:val="28"/>
          <w:lang w:eastAsia="sv-SE"/>
        </w:rPr>
        <w:t xml:space="preserve"> eller nämndens ekonomi</w:t>
      </w:r>
      <w:r w:rsidRPr="003346FC">
        <w:rPr>
          <w:sz w:val="24"/>
          <w:szCs w:val="28"/>
          <w:lang w:eastAsia="sv-SE"/>
        </w:rPr>
        <w:t>.</w:t>
      </w:r>
    </w:p>
    <w:p w14:paraId="6FF0C6C2" w14:textId="607AA004" w:rsidR="008C0B6F" w:rsidRPr="008C0B6F" w:rsidRDefault="00931857" w:rsidP="00132CB6">
      <w:pPr>
        <w:pStyle w:val="Rubrik4"/>
        <w:rPr>
          <w:lang w:eastAsia="sv-SE"/>
        </w:rPr>
      </w:pPr>
      <w:r>
        <w:rPr>
          <w:lang w:eastAsia="sv-SE"/>
        </w:rPr>
        <w:t>Övriga specifika förändringar</w:t>
      </w:r>
    </w:p>
    <w:p w14:paraId="08351465" w14:textId="7C383D88" w:rsidR="0010722B" w:rsidRPr="0010722B" w:rsidRDefault="0010722B" w:rsidP="0010722B">
      <w:pPr>
        <w:rPr>
          <w:lang w:eastAsia="sv-SE"/>
        </w:rPr>
      </w:pPr>
      <w:r w:rsidRPr="003346FC">
        <w:rPr>
          <w:sz w:val="24"/>
          <w:szCs w:val="28"/>
          <w:lang w:eastAsia="sv-SE"/>
        </w:rPr>
        <w:t>Avgiften för hämtning av trädgårdsavfall i kärl avviker något i procenttal för att minska avrundningseffekter för kunderna när avgiften debiteras per hämtning och inte som en periodisk avgift.</w:t>
      </w:r>
      <w:r w:rsidR="00132CB6">
        <w:rPr>
          <w:sz w:val="24"/>
          <w:szCs w:val="28"/>
          <w:lang w:eastAsia="sv-SE"/>
        </w:rPr>
        <w:t xml:space="preserve"> Detta gäller för båda taxealternativen.</w:t>
      </w:r>
      <w:r w:rsidR="00931857">
        <w:rPr>
          <w:sz w:val="24"/>
          <w:szCs w:val="28"/>
          <w:lang w:eastAsia="sv-SE"/>
        </w:rPr>
        <w:t xml:space="preserve"> Några av avgifterna för slamtömning </w:t>
      </w:r>
      <w:r w:rsidR="00757B3A">
        <w:rPr>
          <w:sz w:val="24"/>
          <w:szCs w:val="28"/>
          <w:lang w:eastAsia="sv-SE"/>
        </w:rPr>
        <w:t>presenterades med fel belopp i 2023 års prislista, de avgifterna överensstämde inte med beskrivningen om höjningar i beslutet 2022. D</w:t>
      </w:r>
      <w:r w:rsidR="00931857">
        <w:rPr>
          <w:sz w:val="24"/>
          <w:szCs w:val="28"/>
          <w:lang w:eastAsia="sv-SE"/>
        </w:rPr>
        <w:t>etta korrigeras i båda försla</w:t>
      </w:r>
      <w:r w:rsidR="00757B3A">
        <w:rPr>
          <w:sz w:val="24"/>
          <w:szCs w:val="28"/>
          <w:lang w:eastAsia="sv-SE"/>
        </w:rPr>
        <w:t>gen så att bilagorna med prislista för dessa tjänster nu visar 2022 års belopp uppräknade med först 11,5 procent (enligt förra årets beslut) och därefter årets förslag till uppräkning</w:t>
      </w:r>
      <w:r w:rsidR="00931857">
        <w:rPr>
          <w:sz w:val="24"/>
          <w:szCs w:val="28"/>
          <w:lang w:eastAsia="sv-SE"/>
        </w:rPr>
        <w:t>.</w:t>
      </w:r>
    </w:p>
    <w:p w14:paraId="518AC893" w14:textId="60BFC1F7" w:rsidR="007342E0" w:rsidRDefault="003F09C7" w:rsidP="003F09C7">
      <w:pPr>
        <w:pStyle w:val="Rubrik3"/>
      </w:pPr>
      <w:r>
        <w:t>Bedömning ur ekonomisk dimension</w:t>
      </w:r>
    </w:p>
    <w:p w14:paraId="50C64902" w14:textId="77777777" w:rsidR="00674687" w:rsidRDefault="003A59AE" w:rsidP="003A59AE">
      <w:pPr>
        <w:rPr>
          <w:sz w:val="24"/>
          <w:szCs w:val="28"/>
          <w:lang w:eastAsia="sv-SE"/>
        </w:rPr>
      </w:pPr>
      <w:r w:rsidRPr="003346FC">
        <w:rPr>
          <w:sz w:val="24"/>
          <w:szCs w:val="28"/>
          <w:lang w:eastAsia="sv-SE"/>
        </w:rPr>
        <w:t>Förslaget till avfallstaxa förväntas täcka den del av kostnaderna för avfallshanteringen som inte täcks med</w:t>
      </w:r>
      <w:r w:rsidR="00132CB6">
        <w:rPr>
          <w:sz w:val="24"/>
          <w:szCs w:val="28"/>
          <w:lang w:eastAsia="sv-SE"/>
        </w:rPr>
        <w:t xml:space="preserve"> ersättning för förpackningsinsamling, </w:t>
      </w:r>
      <w:r w:rsidRPr="003346FC">
        <w:rPr>
          <w:sz w:val="24"/>
          <w:szCs w:val="28"/>
          <w:lang w:eastAsia="sv-SE"/>
        </w:rPr>
        <w:t xml:space="preserve">intäkter </w:t>
      </w:r>
      <w:r w:rsidR="00132CB6">
        <w:rPr>
          <w:sz w:val="24"/>
          <w:szCs w:val="28"/>
          <w:lang w:eastAsia="sv-SE"/>
        </w:rPr>
        <w:t>från försäljning av material, hyror eller andra intäkter eller</w:t>
      </w:r>
      <w:r w:rsidRPr="003346FC">
        <w:rPr>
          <w:sz w:val="24"/>
          <w:szCs w:val="28"/>
          <w:lang w:eastAsia="sv-SE"/>
        </w:rPr>
        <w:t xml:space="preserve"> genom </w:t>
      </w:r>
      <w:r w:rsidR="00674687">
        <w:rPr>
          <w:sz w:val="24"/>
          <w:szCs w:val="28"/>
          <w:lang w:eastAsia="sv-SE"/>
        </w:rPr>
        <w:t xml:space="preserve">att </w:t>
      </w:r>
      <w:r w:rsidRPr="003346FC">
        <w:rPr>
          <w:sz w:val="24"/>
          <w:szCs w:val="28"/>
          <w:lang w:eastAsia="sv-SE"/>
        </w:rPr>
        <w:t>skuld</w:t>
      </w:r>
      <w:r w:rsidR="00674687">
        <w:rPr>
          <w:sz w:val="24"/>
          <w:szCs w:val="28"/>
          <w:lang w:eastAsia="sv-SE"/>
        </w:rPr>
        <w:t>en</w:t>
      </w:r>
      <w:r w:rsidRPr="003346FC">
        <w:rPr>
          <w:sz w:val="24"/>
          <w:szCs w:val="28"/>
          <w:lang w:eastAsia="sv-SE"/>
        </w:rPr>
        <w:t xml:space="preserve"> till abonnenterna</w:t>
      </w:r>
      <w:r w:rsidR="00674687">
        <w:rPr>
          <w:sz w:val="24"/>
          <w:szCs w:val="28"/>
          <w:lang w:eastAsia="sv-SE"/>
        </w:rPr>
        <w:t xml:space="preserve"> betalas av</w:t>
      </w:r>
      <w:r w:rsidRPr="003346FC">
        <w:rPr>
          <w:sz w:val="24"/>
          <w:szCs w:val="28"/>
          <w:lang w:eastAsia="sv-SE"/>
        </w:rPr>
        <w:t xml:space="preserve">. </w:t>
      </w:r>
    </w:p>
    <w:p w14:paraId="61E04EC7" w14:textId="25FF42C7" w:rsidR="003916F9" w:rsidRDefault="003916F9" w:rsidP="003A59AE">
      <w:pPr>
        <w:rPr>
          <w:rFonts w:eastAsiaTheme="majorEastAsia"/>
          <w:sz w:val="24"/>
        </w:rPr>
      </w:pPr>
      <w:r>
        <w:rPr>
          <w:rFonts w:eastAsiaTheme="majorEastAsia"/>
          <w:sz w:val="24"/>
        </w:rPr>
        <w:t xml:space="preserve">Förvaltningen bedömer att de ekonomiska osäkerheterna för 2024 är fortsatt mycket stora. Osäkerheterna beskrivs ovan och består i att antalet avfallsutrymmen, och antalet efterfrågade tömningar av de olika förpackningsavfallen inte är kända fullt ut. Det går därför inte att korrekt bedöma kostnaderna för den fastighetsnära insamling som kommer utföras av de auktoriserade insamlarna. Det är inte heller känt hur många hushåll som </w:t>
      </w:r>
      <w:r w:rsidR="00D96488">
        <w:rPr>
          <w:rFonts w:eastAsiaTheme="majorEastAsia"/>
          <w:sz w:val="24"/>
        </w:rPr>
        <w:t xml:space="preserve">får </w:t>
      </w:r>
      <w:r>
        <w:rPr>
          <w:rFonts w:eastAsiaTheme="majorEastAsia"/>
          <w:sz w:val="24"/>
        </w:rPr>
        <w:t>fastighetsnära förpackningsinsamling</w:t>
      </w:r>
      <w:r w:rsidR="00D96488">
        <w:rPr>
          <w:rFonts w:eastAsiaTheme="majorEastAsia"/>
          <w:sz w:val="24"/>
        </w:rPr>
        <w:t xml:space="preserve"> på detta sätt</w:t>
      </w:r>
      <w:r>
        <w:rPr>
          <w:rFonts w:eastAsiaTheme="majorEastAsia"/>
          <w:sz w:val="24"/>
        </w:rPr>
        <w:t xml:space="preserve">. Därmed är det oklart vilken ersättning som Naturvårdsverket kommer betala till Kretslopp och vatten. Förvaltningen kommer till en början rapportera schablonberäkningar för antal lägenheter under hösten 2023 som sedan kommer uppdateras </w:t>
      </w:r>
      <w:r w:rsidR="00D96488">
        <w:rPr>
          <w:rFonts w:eastAsiaTheme="majorEastAsia"/>
          <w:sz w:val="24"/>
        </w:rPr>
        <w:t xml:space="preserve">efter hand som </w:t>
      </w:r>
      <w:r>
        <w:rPr>
          <w:rFonts w:eastAsiaTheme="majorEastAsia"/>
          <w:sz w:val="24"/>
        </w:rPr>
        <w:t xml:space="preserve">det finns bättre </w:t>
      </w:r>
      <w:r w:rsidR="00D96488">
        <w:rPr>
          <w:rFonts w:eastAsiaTheme="majorEastAsia"/>
          <w:sz w:val="24"/>
        </w:rPr>
        <w:t>underlag</w:t>
      </w:r>
      <w:r>
        <w:rPr>
          <w:rFonts w:eastAsiaTheme="majorEastAsia"/>
          <w:sz w:val="24"/>
        </w:rPr>
        <w:t>.</w:t>
      </w:r>
      <w:r w:rsidR="00D96488">
        <w:rPr>
          <w:rFonts w:eastAsiaTheme="majorEastAsia"/>
          <w:sz w:val="24"/>
        </w:rPr>
        <w:t xml:space="preserve"> </w:t>
      </w:r>
    </w:p>
    <w:p w14:paraId="46F0BEC0" w14:textId="6E65C998" w:rsidR="00D96488" w:rsidRDefault="00D96488" w:rsidP="003A59AE">
      <w:pPr>
        <w:rPr>
          <w:rFonts w:eastAsiaTheme="majorEastAsia"/>
          <w:sz w:val="24"/>
        </w:rPr>
      </w:pPr>
      <w:r>
        <w:rPr>
          <w:rFonts w:eastAsiaTheme="majorEastAsia"/>
          <w:sz w:val="24"/>
        </w:rPr>
        <w:t>Tömningen av återvinningsstationerna handlas upp för närvarande och kostnaden kommer därför framgå under hösten. Kostnaden för städning och snöröjning av stationerna beror på omfattningen av nedskräpningen och på snöröjningsbehov. Även kostnaden för reparationer av återvinningsstationerna har behövt uppskattas utan tillräckligt underlag.</w:t>
      </w:r>
    </w:p>
    <w:p w14:paraId="7585703C" w14:textId="678E873B" w:rsidR="003916F9" w:rsidRDefault="00D96488" w:rsidP="003A59AE">
      <w:pPr>
        <w:rPr>
          <w:rFonts w:eastAsiaTheme="majorEastAsia"/>
          <w:sz w:val="24"/>
        </w:rPr>
      </w:pPr>
      <w:r>
        <w:rPr>
          <w:rFonts w:eastAsiaTheme="majorEastAsia"/>
          <w:sz w:val="24"/>
        </w:rPr>
        <w:t>De flerbostadshus och verksamheter som fortfarande har blandat avfall ska byta till sortering i matavfall respektive restavfall under 2024. Varje byte genererar kostnader i form av mer hämtning, när matavfallet tillkommer, och samtidigt sänks avgiften för de kunder som byter. För att bytena ska rulla på enligt plan krävs att det finns lämpliga förutsättningar i byggnaderna, vilket ibland saknas. Tempot i övergången är alltså beroende av hur kunderna klarar av att anpassa sina avfallsutrymmen och påverkar både kostnader och intäkter som blir svårbedömda.</w:t>
      </w:r>
    </w:p>
    <w:p w14:paraId="328D9C5C" w14:textId="753B0D98" w:rsidR="003A59AE" w:rsidRPr="00674687" w:rsidRDefault="003A59AE" w:rsidP="003A59AE">
      <w:pPr>
        <w:rPr>
          <w:rFonts w:eastAsiaTheme="majorEastAsia"/>
          <w:sz w:val="24"/>
        </w:rPr>
      </w:pPr>
      <w:r>
        <w:rPr>
          <w:rFonts w:eastAsiaTheme="majorEastAsia"/>
          <w:sz w:val="24"/>
        </w:rPr>
        <w:t xml:space="preserve">För en normal småhuskund innebär det </w:t>
      </w:r>
      <w:r w:rsidR="00674687">
        <w:rPr>
          <w:rFonts w:eastAsiaTheme="majorEastAsia"/>
          <w:sz w:val="24"/>
        </w:rPr>
        <w:t xml:space="preserve">förordade alternativet </w:t>
      </w:r>
      <w:r>
        <w:rPr>
          <w:rFonts w:eastAsiaTheme="majorEastAsia"/>
          <w:sz w:val="24"/>
        </w:rPr>
        <w:t xml:space="preserve">en kostnadsökning </w:t>
      </w:r>
      <w:r w:rsidR="00420BCF">
        <w:rPr>
          <w:rFonts w:eastAsiaTheme="majorEastAsia"/>
          <w:sz w:val="24"/>
        </w:rPr>
        <w:t xml:space="preserve">på </w:t>
      </w:r>
      <w:r w:rsidR="00674687">
        <w:rPr>
          <w:rFonts w:eastAsiaTheme="majorEastAsia"/>
          <w:sz w:val="24"/>
        </w:rPr>
        <w:t xml:space="preserve">259 </w:t>
      </w:r>
      <w:r>
        <w:rPr>
          <w:rFonts w:eastAsiaTheme="majorEastAsia"/>
          <w:sz w:val="24"/>
        </w:rPr>
        <w:t xml:space="preserve">kronor per år och för motsvarande lägenhetshushåll </w:t>
      </w:r>
      <w:r w:rsidR="00674687">
        <w:rPr>
          <w:rFonts w:eastAsiaTheme="majorEastAsia"/>
          <w:sz w:val="24"/>
        </w:rPr>
        <w:t xml:space="preserve">207 </w:t>
      </w:r>
      <w:r>
        <w:rPr>
          <w:rFonts w:eastAsiaTheme="majorEastAsia"/>
          <w:sz w:val="24"/>
        </w:rPr>
        <w:t xml:space="preserve">kronor per år. </w:t>
      </w:r>
    </w:p>
    <w:p w14:paraId="2957A148" w14:textId="2D84E14E" w:rsidR="00674687" w:rsidRPr="00674687" w:rsidRDefault="00674687" w:rsidP="00674687">
      <w:pPr>
        <w:rPr>
          <w:rFonts w:eastAsiaTheme="majorEastAsia"/>
          <w:sz w:val="24"/>
        </w:rPr>
      </w:pPr>
      <w:r>
        <w:rPr>
          <w:rFonts w:eastAsiaTheme="majorEastAsia"/>
          <w:sz w:val="24"/>
        </w:rPr>
        <w:t xml:space="preserve">För en normal småhuskund innebär alternativet inom nomineringen en kostnadsökning på 211 kronor per år och för motsvarande lägenhetshushåll 165 kronor per år. </w:t>
      </w:r>
    </w:p>
    <w:p w14:paraId="7DB43243" w14:textId="3C1579AF" w:rsidR="003A59AE" w:rsidRPr="00ED0AF7" w:rsidRDefault="00674687" w:rsidP="003A59AE">
      <w:pPr>
        <w:spacing w:line="240" w:lineRule="auto"/>
        <w:jc w:val="both"/>
        <w:rPr>
          <w:sz w:val="24"/>
        </w:rPr>
      </w:pPr>
      <w:r>
        <w:rPr>
          <w:sz w:val="24"/>
        </w:rPr>
        <w:t>I nedanstående tabell visas de tillsammans för bättre överblick. Det är exempel på avfallsavgift för två olika snitthushåll 2023 och med de olika alternativen för 2024.</w:t>
      </w:r>
    </w:p>
    <w:tbl>
      <w:tblPr>
        <w:tblStyle w:val="Listtabell3dekorfrg1"/>
        <w:tblW w:w="9072" w:type="dxa"/>
        <w:tblLayout w:type="fixed"/>
        <w:tblCellMar>
          <w:left w:w="85" w:type="dxa"/>
          <w:right w:w="85" w:type="dxa"/>
        </w:tblCellMar>
        <w:tblLook w:val="04A0" w:firstRow="1" w:lastRow="0" w:firstColumn="1" w:lastColumn="0" w:noHBand="0" w:noVBand="1"/>
      </w:tblPr>
      <w:tblGrid>
        <w:gridCol w:w="1838"/>
        <w:gridCol w:w="1808"/>
        <w:gridCol w:w="1809"/>
        <w:gridCol w:w="1808"/>
        <w:gridCol w:w="1809"/>
      </w:tblGrid>
      <w:tr w:rsidR="003A59AE" w:rsidRPr="008630D3" w14:paraId="64762BDE" w14:textId="77777777" w:rsidTr="0067468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72" w:type="dxa"/>
            <w:gridSpan w:val="5"/>
            <w:noWrap/>
            <w:hideMark/>
          </w:tcPr>
          <w:p w14:paraId="04F92111" w14:textId="77777777" w:rsidR="003A59AE" w:rsidRPr="008630D3" w:rsidRDefault="003A59AE" w:rsidP="00AF3422">
            <w:pPr>
              <w:keepNext/>
              <w:keepLines/>
              <w:spacing w:line="240" w:lineRule="auto"/>
              <w:jc w:val="both"/>
              <w:rPr>
                <w:rFonts w:ascii="Calibri" w:eastAsia="Times New Roman" w:hAnsi="Calibri" w:cs="Calibri"/>
                <w:szCs w:val="22"/>
                <w:lang w:eastAsia="sv-SE"/>
              </w:rPr>
            </w:pPr>
            <w:r w:rsidRPr="008630D3">
              <w:rPr>
                <w:rFonts w:ascii="Calibri" w:eastAsia="Times New Roman" w:hAnsi="Calibri" w:cs="Calibri"/>
                <w:szCs w:val="22"/>
                <w:lang w:eastAsia="sv-SE"/>
              </w:rPr>
              <w:t xml:space="preserve">Avfallsavgift för exempelhushåll </w:t>
            </w:r>
            <w:r w:rsidRPr="00674687">
              <w:rPr>
                <w:rFonts w:ascii="Calibri" w:eastAsia="Times New Roman" w:hAnsi="Calibri" w:cs="Calibri"/>
                <w:szCs w:val="22"/>
                <w:lang w:eastAsia="sv-SE"/>
              </w:rPr>
              <w:t>med</w:t>
            </w:r>
            <w:r w:rsidRPr="008630D3">
              <w:rPr>
                <w:rFonts w:ascii="Calibri" w:eastAsia="Times New Roman" w:hAnsi="Calibri" w:cs="Calibri"/>
                <w:szCs w:val="22"/>
                <w:lang w:eastAsia="sv-SE"/>
              </w:rPr>
              <w:t xml:space="preserve"> matavfallssortering (ca </w:t>
            </w:r>
            <w:r>
              <w:rPr>
                <w:rFonts w:ascii="Calibri" w:eastAsia="Times New Roman" w:hAnsi="Calibri" w:cs="Calibri"/>
                <w:szCs w:val="22"/>
                <w:lang w:eastAsia="sv-SE"/>
              </w:rPr>
              <w:t>8</w:t>
            </w:r>
            <w:r w:rsidRPr="008630D3">
              <w:rPr>
                <w:rFonts w:ascii="Calibri" w:eastAsia="Times New Roman" w:hAnsi="Calibri" w:cs="Calibri"/>
                <w:szCs w:val="22"/>
                <w:lang w:eastAsia="sv-SE"/>
              </w:rPr>
              <w:t>0 procent av hushållen)</w:t>
            </w:r>
          </w:p>
        </w:tc>
      </w:tr>
      <w:tr w:rsidR="00674687" w:rsidRPr="008630D3" w14:paraId="7A643490" w14:textId="77777777" w:rsidTr="0067468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0077BC" w:themeColor="accent1"/>
            </w:tcBorders>
            <w:shd w:val="clear" w:color="auto" w:fill="auto"/>
            <w:noWrap/>
            <w:hideMark/>
          </w:tcPr>
          <w:p w14:paraId="247DC150" w14:textId="77777777" w:rsidR="00674687" w:rsidRPr="00674687" w:rsidRDefault="00674687" w:rsidP="00674687">
            <w:pPr>
              <w:keepNext/>
              <w:keepLines/>
              <w:spacing w:line="240" w:lineRule="auto"/>
              <w:jc w:val="both"/>
              <w:rPr>
                <w:rFonts w:ascii="Calibri" w:eastAsia="Times New Roman" w:hAnsi="Calibri" w:cs="Calibri"/>
                <w:sz w:val="20"/>
                <w:szCs w:val="20"/>
                <w:lang w:eastAsia="sv-SE"/>
              </w:rPr>
            </w:pPr>
          </w:p>
        </w:tc>
        <w:tc>
          <w:tcPr>
            <w:tcW w:w="3617" w:type="dxa"/>
            <w:gridSpan w:val="2"/>
            <w:tcBorders>
              <w:left w:val="single" w:sz="4" w:space="0" w:color="0077BC" w:themeColor="accent1"/>
              <w:right w:val="single" w:sz="4" w:space="0" w:color="0077BC" w:themeColor="accent1"/>
            </w:tcBorders>
            <w:shd w:val="clear" w:color="auto" w:fill="auto"/>
            <w:noWrap/>
            <w:hideMark/>
          </w:tcPr>
          <w:p w14:paraId="1ABDB572" w14:textId="1AD03802" w:rsidR="00674687" w:rsidRPr="00674687" w:rsidRDefault="00674687" w:rsidP="00674687">
            <w:pPr>
              <w:keepNext/>
              <w:keepLine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sv-SE"/>
              </w:rPr>
            </w:pPr>
            <w:r w:rsidRPr="00674687">
              <w:rPr>
                <w:rFonts w:ascii="Calibri" w:eastAsia="Times New Roman" w:hAnsi="Calibri" w:cs="Calibri"/>
                <w:b/>
                <w:bCs/>
                <w:sz w:val="20"/>
                <w:szCs w:val="20"/>
                <w:lang w:eastAsia="sv-SE"/>
              </w:rPr>
              <w:t>Årsavgift kr/år</w:t>
            </w:r>
          </w:p>
        </w:tc>
        <w:tc>
          <w:tcPr>
            <w:tcW w:w="3617" w:type="dxa"/>
            <w:gridSpan w:val="2"/>
            <w:tcBorders>
              <w:left w:val="single" w:sz="4" w:space="0" w:color="0077BC" w:themeColor="accent1"/>
            </w:tcBorders>
            <w:shd w:val="clear" w:color="auto" w:fill="auto"/>
            <w:noWrap/>
            <w:hideMark/>
          </w:tcPr>
          <w:p w14:paraId="7AE69161" w14:textId="77777777" w:rsidR="00674687" w:rsidRPr="00674687" w:rsidRDefault="00674687" w:rsidP="00674687">
            <w:pPr>
              <w:keepNext/>
              <w:keepLine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sv-SE"/>
              </w:rPr>
            </w:pPr>
            <w:r w:rsidRPr="00674687">
              <w:rPr>
                <w:rFonts w:ascii="Calibri" w:eastAsia="Times New Roman" w:hAnsi="Calibri" w:cs="Calibri"/>
                <w:b/>
                <w:bCs/>
                <w:sz w:val="20"/>
                <w:szCs w:val="20"/>
                <w:lang w:eastAsia="sv-SE"/>
              </w:rPr>
              <w:t>Ökning mellan åren</w:t>
            </w:r>
          </w:p>
        </w:tc>
      </w:tr>
      <w:tr w:rsidR="00674687" w:rsidRPr="008630D3" w14:paraId="64867CB1" w14:textId="77777777" w:rsidTr="00674687">
        <w:trPr>
          <w:trHeight w:val="404"/>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0077BC" w:themeColor="accent1"/>
            </w:tcBorders>
            <w:shd w:val="clear" w:color="auto" w:fill="auto"/>
            <w:noWrap/>
            <w:hideMark/>
          </w:tcPr>
          <w:p w14:paraId="7141821A" w14:textId="77777777" w:rsidR="003A59AE" w:rsidRPr="00674687" w:rsidRDefault="003A59AE" w:rsidP="00674687">
            <w:pPr>
              <w:keepNext/>
              <w:keepLines/>
              <w:spacing w:line="240" w:lineRule="auto"/>
              <w:jc w:val="both"/>
              <w:rPr>
                <w:rFonts w:ascii="Calibri" w:eastAsia="Times New Roman" w:hAnsi="Calibri" w:cs="Calibri"/>
                <w:sz w:val="20"/>
                <w:szCs w:val="20"/>
                <w:lang w:eastAsia="sv-SE"/>
              </w:rPr>
            </w:pPr>
          </w:p>
        </w:tc>
        <w:tc>
          <w:tcPr>
            <w:tcW w:w="1808" w:type="dxa"/>
            <w:tcBorders>
              <w:left w:val="single" w:sz="4" w:space="0" w:color="0077BC" w:themeColor="accent1"/>
              <w:right w:val="single" w:sz="4" w:space="0" w:color="0077BC" w:themeColor="accent1"/>
            </w:tcBorders>
            <w:shd w:val="clear" w:color="auto" w:fill="auto"/>
            <w:noWrap/>
            <w:hideMark/>
          </w:tcPr>
          <w:p w14:paraId="79292125" w14:textId="77777777" w:rsidR="003A59AE" w:rsidRPr="00674687" w:rsidRDefault="003A59AE" w:rsidP="00674687">
            <w:pPr>
              <w:keepNext/>
              <w:keepLine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sv-SE"/>
              </w:rPr>
            </w:pPr>
            <w:r w:rsidRPr="00674687">
              <w:rPr>
                <w:rFonts w:ascii="Calibri" w:eastAsia="Times New Roman" w:hAnsi="Calibri" w:cs="Calibri"/>
                <w:b/>
                <w:bCs/>
                <w:sz w:val="20"/>
                <w:szCs w:val="20"/>
                <w:lang w:eastAsia="sv-SE"/>
              </w:rPr>
              <w:t>Småhus kr/år</w:t>
            </w:r>
          </w:p>
        </w:tc>
        <w:tc>
          <w:tcPr>
            <w:tcW w:w="1809" w:type="dxa"/>
            <w:tcBorders>
              <w:left w:val="single" w:sz="4" w:space="0" w:color="0077BC" w:themeColor="accent1"/>
              <w:right w:val="single" w:sz="4" w:space="0" w:color="0077BC" w:themeColor="accent1"/>
            </w:tcBorders>
            <w:shd w:val="clear" w:color="auto" w:fill="auto"/>
            <w:noWrap/>
            <w:hideMark/>
          </w:tcPr>
          <w:p w14:paraId="39E97277" w14:textId="77777777" w:rsidR="003A59AE" w:rsidRPr="00674687" w:rsidRDefault="003A59AE" w:rsidP="00674687">
            <w:pPr>
              <w:keepNext/>
              <w:keepLine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sv-SE"/>
              </w:rPr>
            </w:pPr>
            <w:r w:rsidRPr="00674687">
              <w:rPr>
                <w:rFonts w:ascii="Calibri" w:eastAsia="Times New Roman" w:hAnsi="Calibri" w:cs="Calibri"/>
                <w:b/>
                <w:bCs/>
                <w:sz w:val="20"/>
                <w:szCs w:val="20"/>
                <w:lang w:eastAsia="sv-SE"/>
              </w:rPr>
              <w:t>Lägenhet kr/år</w:t>
            </w:r>
          </w:p>
        </w:tc>
        <w:tc>
          <w:tcPr>
            <w:tcW w:w="1808" w:type="dxa"/>
            <w:tcBorders>
              <w:left w:val="single" w:sz="4" w:space="0" w:color="0077BC" w:themeColor="accent1"/>
              <w:right w:val="single" w:sz="4" w:space="0" w:color="0077BC" w:themeColor="accent1"/>
            </w:tcBorders>
            <w:shd w:val="clear" w:color="auto" w:fill="auto"/>
            <w:noWrap/>
            <w:hideMark/>
          </w:tcPr>
          <w:p w14:paraId="4BD919F8" w14:textId="77777777" w:rsidR="003A59AE" w:rsidRPr="00674687" w:rsidRDefault="003A59AE" w:rsidP="00674687">
            <w:pPr>
              <w:keepNext/>
              <w:keepLine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sv-SE"/>
              </w:rPr>
            </w:pPr>
            <w:r w:rsidRPr="00674687">
              <w:rPr>
                <w:rFonts w:ascii="Calibri" w:eastAsia="Times New Roman" w:hAnsi="Calibri" w:cs="Calibri"/>
                <w:b/>
                <w:bCs/>
                <w:sz w:val="20"/>
                <w:szCs w:val="20"/>
                <w:lang w:eastAsia="sv-SE"/>
              </w:rPr>
              <w:t>Småhus kr/år</w:t>
            </w:r>
          </w:p>
        </w:tc>
        <w:tc>
          <w:tcPr>
            <w:tcW w:w="1809" w:type="dxa"/>
            <w:tcBorders>
              <w:left w:val="single" w:sz="4" w:space="0" w:color="0077BC" w:themeColor="accent1"/>
            </w:tcBorders>
            <w:shd w:val="clear" w:color="auto" w:fill="auto"/>
            <w:noWrap/>
            <w:hideMark/>
          </w:tcPr>
          <w:p w14:paraId="62C617A8" w14:textId="77777777" w:rsidR="003A59AE" w:rsidRPr="00674687" w:rsidRDefault="003A59AE" w:rsidP="00674687">
            <w:pPr>
              <w:keepNext/>
              <w:keepLine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sv-SE"/>
              </w:rPr>
            </w:pPr>
            <w:r w:rsidRPr="00674687">
              <w:rPr>
                <w:rFonts w:ascii="Calibri" w:eastAsia="Times New Roman" w:hAnsi="Calibri" w:cs="Calibri"/>
                <w:b/>
                <w:bCs/>
                <w:sz w:val="20"/>
                <w:szCs w:val="20"/>
                <w:lang w:eastAsia="sv-SE"/>
              </w:rPr>
              <w:t>Lägenhet kr/år</w:t>
            </w:r>
          </w:p>
        </w:tc>
      </w:tr>
      <w:tr w:rsidR="00674687" w:rsidRPr="008630D3" w14:paraId="58577E51" w14:textId="77777777" w:rsidTr="0067468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0077BC" w:themeColor="accent1"/>
            </w:tcBorders>
            <w:shd w:val="clear" w:color="auto" w:fill="auto"/>
            <w:noWrap/>
            <w:hideMark/>
          </w:tcPr>
          <w:p w14:paraId="166A8B63" w14:textId="4C788BB4" w:rsidR="00674687" w:rsidRPr="00674687" w:rsidRDefault="00674687" w:rsidP="00674687">
            <w:pPr>
              <w:keepNext/>
              <w:keepLines/>
              <w:spacing w:line="240" w:lineRule="auto"/>
              <w:jc w:val="both"/>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2023</w:t>
            </w:r>
          </w:p>
        </w:tc>
        <w:tc>
          <w:tcPr>
            <w:tcW w:w="1808" w:type="dxa"/>
            <w:tcBorders>
              <w:left w:val="single" w:sz="4" w:space="0" w:color="0077BC" w:themeColor="accent1"/>
              <w:right w:val="single" w:sz="4" w:space="0" w:color="0077BC" w:themeColor="accent1"/>
            </w:tcBorders>
            <w:shd w:val="clear" w:color="auto" w:fill="auto"/>
            <w:noWrap/>
            <w:hideMark/>
          </w:tcPr>
          <w:p w14:paraId="10721CD3" w14:textId="0B4F9670" w:rsidR="00674687" w:rsidRPr="00674687" w:rsidRDefault="00674687" w:rsidP="00674687">
            <w:pPr>
              <w:keepNext/>
              <w:keepLine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 xml:space="preserve">             2 071 kr </w:t>
            </w:r>
          </w:p>
        </w:tc>
        <w:tc>
          <w:tcPr>
            <w:tcW w:w="1809" w:type="dxa"/>
            <w:tcBorders>
              <w:left w:val="single" w:sz="4" w:space="0" w:color="0077BC" w:themeColor="accent1"/>
              <w:right w:val="single" w:sz="4" w:space="0" w:color="0077BC" w:themeColor="accent1"/>
            </w:tcBorders>
            <w:shd w:val="clear" w:color="auto" w:fill="auto"/>
            <w:noWrap/>
            <w:hideMark/>
          </w:tcPr>
          <w:p w14:paraId="04C8858D" w14:textId="52811885" w:rsidR="00674687" w:rsidRPr="00674687" w:rsidRDefault="00674687" w:rsidP="00674687">
            <w:pPr>
              <w:keepNext/>
              <w:keepLine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 xml:space="preserve">               1 578 kr </w:t>
            </w:r>
          </w:p>
        </w:tc>
        <w:tc>
          <w:tcPr>
            <w:tcW w:w="1808" w:type="dxa"/>
            <w:tcBorders>
              <w:left w:val="single" w:sz="4" w:space="0" w:color="0077BC" w:themeColor="accent1"/>
              <w:right w:val="single" w:sz="4" w:space="0" w:color="0077BC" w:themeColor="accent1"/>
            </w:tcBorders>
            <w:shd w:val="clear" w:color="auto" w:fill="auto"/>
            <w:noWrap/>
          </w:tcPr>
          <w:p w14:paraId="1BB81CDC" w14:textId="77777777" w:rsidR="00674687" w:rsidRPr="00674687" w:rsidRDefault="00674687" w:rsidP="00674687">
            <w:pPr>
              <w:keepNext/>
              <w:keepLine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sv-SE"/>
              </w:rPr>
            </w:pPr>
          </w:p>
        </w:tc>
        <w:tc>
          <w:tcPr>
            <w:tcW w:w="1809" w:type="dxa"/>
            <w:tcBorders>
              <w:left w:val="single" w:sz="4" w:space="0" w:color="0077BC" w:themeColor="accent1"/>
            </w:tcBorders>
            <w:shd w:val="clear" w:color="auto" w:fill="auto"/>
            <w:noWrap/>
          </w:tcPr>
          <w:p w14:paraId="0137E4F7" w14:textId="77777777" w:rsidR="00674687" w:rsidRPr="00674687" w:rsidRDefault="00674687" w:rsidP="00674687">
            <w:pPr>
              <w:keepNext/>
              <w:keepLine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sv-SE"/>
              </w:rPr>
            </w:pPr>
          </w:p>
        </w:tc>
      </w:tr>
      <w:tr w:rsidR="00674687" w:rsidRPr="008630D3" w14:paraId="40334D50" w14:textId="77777777" w:rsidTr="00674687">
        <w:trPr>
          <w:trHeight w:val="404"/>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0077BC" w:themeColor="accent1"/>
            </w:tcBorders>
            <w:shd w:val="clear" w:color="auto" w:fill="auto"/>
            <w:noWrap/>
            <w:hideMark/>
          </w:tcPr>
          <w:p w14:paraId="2F95D82C" w14:textId="231B597C" w:rsidR="00674687" w:rsidRPr="00674687" w:rsidRDefault="00674687" w:rsidP="00674687">
            <w:pPr>
              <w:keepNext/>
              <w:keepLines/>
              <w:spacing w:line="240" w:lineRule="auto"/>
              <w:jc w:val="both"/>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2024 Förordat</w:t>
            </w:r>
          </w:p>
        </w:tc>
        <w:tc>
          <w:tcPr>
            <w:tcW w:w="1808" w:type="dxa"/>
            <w:tcBorders>
              <w:left w:val="single" w:sz="4" w:space="0" w:color="0077BC" w:themeColor="accent1"/>
              <w:right w:val="single" w:sz="4" w:space="0" w:color="0077BC" w:themeColor="accent1"/>
            </w:tcBorders>
            <w:shd w:val="clear" w:color="auto" w:fill="auto"/>
            <w:noWrap/>
            <w:hideMark/>
          </w:tcPr>
          <w:p w14:paraId="2292E0C2" w14:textId="5CD24D65" w:rsidR="00674687" w:rsidRPr="00674687" w:rsidRDefault="00674687" w:rsidP="00674687">
            <w:pPr>
              <w:keepNext/>
              <w:keepLine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 xml:space="preserve">             2 330 kr </w:t>
            </w:r>
          </w:p>
        </w:tc>
        <w:tc>
          <w:tcPr>
            <w:tcW w:w="1809" w:type="dxa"/>
            <w:tcBorders>
              <w:left w:val="single" w:sz="4" w:space="0" w:color="0077BC" w:themeColor="accent1"/>
              <w:right w:val="single" w:sz="4" w:space="0" w:color="0077BC" w:themeColor="accent1"/>
            </w:tcBorders>
            <w:shd w:val="clear" w:color="auto" w:fill="auto"/>
            <w:noWrap/>
            <w:hideMark/>
          </w:tcPr>
          <w:p w14:paraId="77C544F8" w14:textId="147D6BD1" w:rsidR="00674687" w:rsidRPr="00674687" w:rsidRDefault="00674687" w:rsidP="00674687">
            <w:pPr>
              <w:keepNext/>
              <w:keepLine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 xml:space="preserve">               1 785 kr </w:t>
            </w:r>
          </w:p>
        </w:tc>
        <w:tc>
          <w:tcPr>
            <w:tcW w:w="1808" w:type="dxa"/>
            <w:tcBorders>
              <w:left w:val="single" w:sz="4" w:space="0" w:color="0077BC" w:themeColor="accent1"/>
              <w:right w:val="single" w:sz="4" w:space="0" w:color="0077BC" w:themeColor="accent1"/>
            </w:tcBorders>
            <w:shd w:val="clear" w:color="auto" w:fill="auto"/>
            <w:noWrap/>
            <w:hideMark/>
          </w:tcPr>
          <w:p w14:paraId="65F3DDC5" w14:textId="6B2C5433" w:rsidR="00674687" w:rsidRPr="00674687" w:rsidRDefault="00674687" w:rsidP="00674687">
            <w:pPr>
              <w:keepNext/>
              <w:keepLine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 xml:space="preserve">                259 kr </w:t>
            </w:r>
          </w:p>
        </w:tc>
        <w:tc>
          <w:tcPr>
            <w:tcW w:w="1809" w:type="dxa"/>
            <w:tcBorders>
              <w:left w:val="single" w:sz="4" w:space="0" w:color="0077BC" w:themeColor="accent1"/>
            </w:tcBorders>
            <w:shd w:val="clear" w:color="auto" w:fill="auto"/>
            <w:noWrap/>
            <w:hideMark/>
          </w:tcPr>
          <w:p w14:paraId="578FBC2F" w14:textId="491141BB" w:rsidR="00674687" w:rsidRPr="00674687" w:rsidRDefault="00674687" w:rsidP="00674687">
            <w:pPr>
              <w:keepNext/>
              <w:keepLine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 xml:space="preserve">            207 kr </w:t>
            </w:r>
          </w:p>
        </w:tc>
      </w:tr>
      <w:tr w:rsidR="00674687" w:rsidRPr="008630D3" w14:paraId="11EFA984" w14:textId="77777777" w:rsidTr="0067468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0077BC" w:themeColor="accent1"/>
            </w:tcBorders>
            <w:shd w:val="clear" w:color="auto" w:fill="auto"/>
            <w:noWrap/>
          </w:tcPr>
          <w:p w14:paraId="722A673A" w14:textId="22F54BE0" w:rsidR="00674687" w:rsidRPr="00674687" w:rsidRDefault="00674687" w:rsidP="00674687">
            <w:pPr>
              <w:keepNext/>
              <w:keepLines/>
              <w:spacing w:line="240" w:lineRule="auto"/>
              <w:jc w:val="both"/>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2024 Nominerat</w:t>
            </w:r>
          </w:p>
        </w:tc>
        <w:tc>
          <w:tcPr>
            <w:tcW w:w="1808" w:type="dxa"/>
            <w:tcBorders>
              <w:left w:val="single" w:sz="4" w:space="0" w:color="0077BC" w:themeColor="accent1"/>
              <w:right w:val="single" w:sz="4" w:space="0" w:color="0077BC" w:themeColor="accent1"/>
            </w:tcBorders>
            <w:shd w:val="clear" w:color="auto" w:fill="auto"/>
            <w:noWrap/>
          </w:tcPr>
          <w:p w14:paraId="5FC71348" w14:textId="18B8EE9A" w:rsidR="00674687" w:rsidRPr="00674687" w:rsidRDefault="00674687" w:rsidP="00674687">
            <w:pPr>
              <w:keepNext/>
              <w:keepLine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 xml:space="preserve">             2 282 kr </w:t>
            </w:r>
          </w:p>
        </w:tc>
        <w:tc>
          <w:tcPr>
            <w:tcW w:w="1809" w:type="dxa"/>
            <w:tcBorders>
              <w:left w:val="single" w:sz="4" w:space="0" w:color="0077BC" w:themeColor="accent1"/>
              <w:right w:val="single" w:sz="4" w:space="0" w:color="0077BC" w:themeColor="accent1"/>
            </w:tcBorders>
            <w:shd w:val="clear" w:color="auto" w:fill="auto"/>
            <w:noWrap/>
          </w:tcPr>
          <w:p w14:paraId="733B8AB1" w14:textId="37DF4467" w:rsidR="00674687" w:rsidRPr="00674687" w:rsidRDefault="00674687" w:rsidP="00674687">
            <w:pPr>
              <w:keepNext/>
              <w:keepLine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 xml:space="preserve">               1 743 kr </w:t>
            </w:r>
          </w:p>
        </w:tc>
        <w:tc>
          <w:tcPr>
            <w:tcW w:w="1808" w:type="dxa"/>
            <w:tcBorders>
              <w:left w:val="single" w:sz="4" w:space="0" w:color="0077BC" w:themeColor="accent1"/>
              <w:right w:val="single" w:sz="4" w:space="0" w:color="0077BC" w:themeColor="accent1"/>
            </w:tcBorders>
            <w:shd w:val="clear" w:color="auto" w:fill="auto"/>
            <w:noWrap/>
          </w:tcPr>
          <w:p w14:paraId="4E44AAD3" w14:textId="2354CA0A" w:rsidR="00674687" w:rsidRPr="00674687" w:rsidRDefault="00674687" w:rsidP="00674687">
            <w:pPr>
              <w:keepNext/>
              <w:keepLine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 xml:space="preserve">                211 kr </w:t>
            </w:r>
          </w:p>
        </w:tc>
        <w:tc>
          <w:tcPr>
            <w:tcW w:w="1809" w:type="dxa"/>
            <w:tcBorders>
              <w:left w:val="single" w:sz="4" w:space="0" w:color="0077BC" w:themeColor="accent1"/>
            </w:tcBorders>
            <w:shd w:val="clear" w:color="auto" w:fill="auto"/>
            <w:noWrap/>
          </w:tcPr>
          <w:p w14:paraId="3B5A4AAD" w14:textId="0E9200DF" w:rsidR="00674687" w:rsidRPr="00674687" w:rsidRDefault="00674687" w:rsidP="00674687">
            <w:pPr>
              <w:keepNext/>
              <w:keepLine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sv-SE"/>
              </w:rPr>
            </w:pPr>
            <w:r w:rsidRPr="00674687">
              <w:rPr>
                <w:rFonts w:ascii="Calibri" w:eastAsia="Times New Roman" w:hAnsi="Calibri" w:cs="Calibri"/>
                <w:sz w:val="20"/>
                <w:szCs w:val="20"/>
                <w:lang w:eastAsia="sv-SE"/>
              </w:rPr>
              <w:t xml:space="preserve">            165 kr </w:t>
            </w:r>
          </w:p>
        </w:tc>
      </w:tr>
    </w:tbl>
    <w:p w14:paraId="0B29C1AB" w14:textId="77777777" w:rsidR="003A59AE" w:rsidRPr="0080376F" w:rsidRDefault="003A59AE" w:rsidP="003A59AE">
      <w:pPr>
        <w:spacing w:line="240" w:lineRule="auto"/>
        <w:rPr>
          <w:i/>
          <w:iCs/>
          <w:sz w:val="18"/>
          <w:szCs w:val="18"/>
        </w:rPr>
      </w:pPr>
      <w:r w:rsidRPr="0080376F">
        <w:rPr>
          <w:i/>
          <w:iCs/>
          <w:sz w:val="18"/>
          <w:szCs w:val="18"/>
        </w:rPr>
        <w:t xml:space="preserve">Exempelhushållet i småhus har ett 190 liters restavfallskärl med hämtning var 14:e dag och lämnar 158 kg/år samt en matavfallssäck med hämtning en gång i vecka. Exempelhushållet i flerbostadshus är ett av </w:t>
      </w:r>
      <w:r>
        <w:rPr>
          <w:i/>
          <w:iCs/>
          <w:sz w:val="18"/>
          <w:szCs w:val="18"/>
        </w:rPr>
        <w:t>15</w:t>
      </w:r>
      <w:r w:rsidRPr="0080376F">
        <w:rPr>
          <w:i/>
          <w:iCs/>
          <w:sz w:val="18"/>
          <w:szCs w:val="18"/>
        </w:rPr>
        <w:t xml:space="preserve"> hushåll, som delar på </w:t>
      </w:r>
      <w:r>
        <w:rPr>
          <w:i/>
          <w:iCs/>
          <w:sz w:val="18"/>
          <w:szCs w:val="18"/>
        </w:rPr>
        <w:t>tre 370</w:t>
      </w:r>
      <w:r w:rsidRPr="0080376F">
        <w:rPr>
          <w:i/>
          <w:iCs/>
          <w:sz w:val="18"/>
          <w:szCs w:val="18"/>
        </w:rPr>
        <w:t xml:space="preserve"> liters restavfallskärl och </w:t>
      </w:r>
      <w:r>
        <w:rPr>
          <w:i/>
          <w:iCs/>
          <w:sz w:val="18"/>
          <w:szCs w:val="18"/>
        </w:rPr>
        <w:t>ett</w:t>
      </w:r>
      <w:r w:rsidRPr="0080376F">
        <w:rPr>
          <w:i/>
          <w:iCs/>
          <w:sz w:val="18"/>
          <w:szCs w:val="18"/>
        </w:rPr>
        <w:t xml:space="preserve"> </w:t>
      </w:r>
      <w:r>
        <w:rPr>
          <w:i/>
          <w:iCs/>
          <w:sz w:val="18"/>
          <w:szCs w:val="18"/>
        </w:rPr>
        <w:t>2</w:t>
      </w:r>
      <w:r w:rsidRPr="0080376F">
        <w:rPr>
          <w:i/>
          <w:iCs/>
          <w:sz w:val="18"/>
          <w:szCs w:val="18"/>
        </w:rPr>
        <w:t xml:space="preserve">40 liters matavfallskärl med hämtning varje vecka och har </w:t>
      </w:r>
      <w:r>
        <w:rPr>
          <w:i/>
          <w:iCs/>
          <w:sz w:val="18"/>
          <w:szCs w:val="18"/>
        </w:rPr>
        <w:t>9</w:t>
      </w:r>
      <w:r w:rsidRPr="0080376F">
        <w:rPr>
          <w:i/>
          <w:iCs/>
          <w:sz w:val="18"/>
          <w:szCs w:val="18"/>
        </w:rPr>
        <w:t xml:space="preserve"> meter dragväg och lämnar 2</w:t>
      </w:r>
      <w:r>
        <w:rPr>
          <w:i/>
          <w:iCs/>
          <w:sz w:val="18"/>
          <w:szCs w:val="18"/>
        </w:rPr>
        <w:t>56</w:t>
      </w:r>
      <w:r w:rsidRPr="0080376F">
        <w:rPr>
          <w:i/>
          <w:iCs/>
          <w:sz w:val="18"/>
          <w:szCs w:val="18"/>
        </w:rPr>
        <w:t xml:space="preserve"> kg avfall per hushåll.</w:t>
      </w:r>
    </w:p>
    <w:p w14:paraId="20C1006B" w14:textId="77777777" w:rsidR="00CB2443" w:rsidRDefault="003A59AE" w:rsidP="00CB2443">
      <w:pPr>
        <w:rPr>
          <w:sz w:val="24"/>
          <w:szCs w:val="28"/>
        </w:rPr>
      </w:pPr>
      <w:bookmarkStart w:id="3" w:name="_Hlk97123126"/>
      <w:r>
        <w:rPr>
          <w:sz w:val="24"/>
          <w:szCs w:val="28"/>
        </w:rPr>
        <w:t>När</w:t>
      </w:r>
      <w:r w:rsidRPr="005871B7">
        <w:rPr>
          <w:sz w:val="24"/>
          <w:szCs w:val="28"/>
        </w:rPr>
        <w:t xml:space="preserve"> avgiften jämförs med andra kommuner i Sverige så går det inte att göra för </w:t>
      </w:r>
      <w:r>
        <w:rPr>
          <w:sz w:val="24"/>
          <w:szCs w:val="28"/>
        </w:rPr>
        <w:t>202</w:t>
      </w:r>
      <w:r w:rsidR="00420BCF">
        <w:rPr>
          <w:sz w:val="24"/>
          <w:szCs w:val="28"/>
        </w:rPr>
        <w:t>4</w:t>
      </w:r>
      <w:r>
        <w:rPr>
          <w:sz w:val="24"/>
          <w:szCs w:val="28"/>
        </w:rPr>
        <w:t xml:space="preserve"> års </w:t>
      </w:r>
      <w:r w:rsidRPr="005871B7">
        <w:rPr>
          <w:sz w:val="24"/>
          <w:szCs w:val="28"/>
        </w:rPr>
        <w:t xml:space="preserve">avgifter </w:t>
      </w:r>
      <w:r>
        <w:rPr>
          <w:sz w:val="24"/>
          <w:szCs w:val="28"/>
        </w:rPr>
        <w:t>då de inte b</w:t>
      </w:r>
      <w:r w:rsidRPr="005871B7">
        <w:rPr>
          <w:sz w:val="24"/>
          <w:szCs w:val="28"/>
        </w:rPr>
        <w:t>esluta</w:t>
      </w:r>
      <w:r>
        <w:rPr>
          <w:sz w:val="24"/>
          <w:szCs w:val="28"/>
        </w:rPr>
        <w:t>ts</w:t>
      </w:r>
      <w:r w:rsidR="00420BCF" w:rsidRPr="00214CB2">
        <w:rPr>
          <w:sz w:val="24"/>
          <w:szCs w:val="28"/>
        </w:rPr>
        <w:t xml:space="preserve">. </w:t>
      </w:r>
      <w:r w:rsidRPr="00214CB2">
        <w:rPr>
          <w:sz w:val="24"/>
          <w:szCs w:val="28"/>
        </w:rPr>
        <w:t>Nedan ses en jämförelse av årsavgifterna för en tjänst för småhus för 202</w:t>
      </w:r>
      <w:r w:rsidR="00420BCF" w:rsidRPr="00214CB2">
        <w:rPr>
          <w:sz w:val="24"/>
          <w:szCs w:val="28"/>
        </w:rPr>
        <w:t>3</w:t>
      </w:r>
      <w:r w:rsidRPr="00214CB2">
        <w:rPr>
          <w:sz w:val="24"/>
          <w:szCs w:val="28"/>
        </w:rPr>
        <w:t xml:space="preserve"> i Sveriges </w:t>
      </w:r>
      <w:r w:rsidR="00214CB2">
        <w:rPr>
          <w:sz w:val="24"/>
          <w:szCs w:val="28"/>
        </w:rPr>
        <w:t xml:space="preserve">åtta största </w:t>
      </w:r>
      <w:r w:rsidRPr="00214CB2">
        <w:rPr>
          <w:sz w:val="24"/>
          <w:szCs w:val="28"/>
        </w:rPr>
        <w:t xml:space="preserve">städer </w:t>
      </w:r>
      <w:r w:rsidR="00214CB2">
        <w:rPr>
          <w:sz w:val="24"/>
          <w:szCs w:val="28"/>
        </w:rPr>
        <w:t>o</w:t>
      </w:r>
      <w:r w:rsidRPr="00214CB2">
        <w:rPr>
          <w:sz w:val="24"/>
          <w:szCs w:val="28"/>
        </w:rPr>
        <w:t xml:space="preserve">ch där under visas motsvarande för en lägenhet i ett flerbostadshus. Göteborg har avgifter som är låga eller medianhöga i jämförelsen. </w:t>
      </w:r>
      <w:bookmarkEnd w:id="3"/>
    </w:p>
    <w:p w14:paraId="1A9FD2D4" w14:textId="6F9ACD40" w:rsidR="003A59AE" w:rsidRPr="00214CB2" w:rsidRDefault="00214CB2" w:rsidP="00CB2443">
      <w:r>
        <w:rPr>
          <w:noProof/>
        </w:rPr>
        <w:drawing>
          <wp:inline distT="0" distB="0" distL="0" distR="0" wp14:anchorId="036E42EA" wp14:editId="55914D20">
            <wp:extent cx="5039360" cy="2924175"/>
            <wp:effectExtent l="0" t="0" r="8890" b="9525"/>
            <wp:docPr id="5" name="Diagram 5">
              <a:extLst xmlns:a="http://schemas.openxmlformats.org/drawingml/2006/main">
                <a:ext uri="{FF2B5EF4-FFF2-40B4-BE49-F238E27FC236}">
                  <a16:creationId xmlns:a16="http://schemas.microsoft.com/office/drawing/2014/main" id="{D336231E-BB9F-4E3B-9CEE-E3C14F9B54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A59AE" w:rsidRPr="00214CB2">
        <w:rPr>
          <w:i/>
          <w:iCs/>
          <w:sz w:val="18"/>
          <w:szCs w:val="20"/>
        </w:rPr>
        <w:t xml:space="preserve">Figur </w:t>
      </w:r>
      <w:r w:rsidR="003A59AE" w:rsidRPr="00214CB2">
        <w:rPr>
          <w:i/>
          <w:iCs/>
          <w:sz w:val="18"/>
          <w:szCs w:val="20"/>
        </w:rPr>
        <w:fldChar w:fldCharType="begin"/>
      </w:r>
      <w:r w:rsidR="003A59AE" w:rsidRPr="00214CB2">
        <w:rPr>
          <w:i/>
          <w:iCs/>
          <w:sz w:val="18"/>
          <w:szCs w:val="20"/>
        </w:rPr>
        <w:instrText xml:space="preserve"> SEQ Figur \* ARABIC </w:instrText>
      </w:r>
      <w:r w:rsidR="003A59AE" w:rsidRPr="00214CB2">
        <w:rPr>
          <w:i/>
          <w:iCs/>
          <w:sz w:val="18"/>
          <w:szCs w:val="20"/>
        </w:rPr>
        <w:fldChar w:fldCharType="separate"/>
      </w:r>
      <w:r w:rsidR="003A59AE" w:rsidRPr="00214CB2">
        <w:rPr>
          <w:i/>
          <w:iCs/>
          <w:noProof/>
          <w:sz w:val="18"/>
          <w:szCs w:val="20"/>
        </w:rPr>
        <w:t>1</w:t>
      </w:r>
      <w:r w:rsidR="003A59AE" w:rsidRPr="00214CB2">
        <w:rPr>
          <w:i/>
          <w:iCs/>
          <w:noProof/>
          <w:sz w:val="18"/>
          <w:szCs w:val="20"/>
        </w:rPr>
        <w:fldChar w:fldCharType="end"/>
      </w:r>
      <w:r w:rsidR="003A59AE" w:rsidRPr="00214CB2">
        <w:rPr>
          <w:i/>
          <w:iCs/>
          <w:sz w:val="18"/>
          <w:szCs w:val="20"/>
        </w:rPr>
        <w:t xml:space="preserve"> Årsavgifter för avfallshantering för exempelhushåll i</w:t>
      </w:r>
      <w:r w:rsidR="003A59AE" w:rsidRPr="00214CB2">
        <w:rPr>
          <w:i/>
          <w:iCs/>
          <w:noProof/>
          <w:sz w:val="18"/>
          <w:szCs w:val="20"/>
        </w:rPr>
        <w:t xml:space="preserve"> småhus 202</w:t>
      </w:r>
      <w:r w:rsidRPr="00214CB2">
        <w:rPr>
          <w:i/>
          <w:iCs/>
          <w:noProof/>
          <w:sz w:val="18"/>
          <w:szCs w:val="20"/>
        </w:rPr>
        <w:t>3</w:t>
      </w:r>
      <w:r w:rsidR="003A59AE" w:rsidRPr="00214CB2">
        <w:rPr>
          <w:i/>
          <w:iCs/>
          <w:noProof/>
          <w:sz w:val="18"/>
          <w:szCs w:val="20"/>
        </w:rPr>
        <w:t xml:space="preserve"> i Sveriges </w:t>
      </w:r>
      <w:r w:rsidRPr="00214CB2">
        <w:rPr>
          <w:i/>
          <w:iCs/>
          <w:noProof/>
          <w:sz w:val="18"/>
          <w:szCs w:val="20"/>
        </w:rPr>
        <w:t xml:space="preserve">åtta största </w:t>
      </w:r>
      <w:r w:rsidR="003A59AE" w:rsidRPr="00214CB2">
        <w:rPr>
          <w:i/>
          <w:iCs/>
          <w:noProof/>
          <w:sz w:val="18"/>
          <w:szCs w:val="20"/>
        </w:rPr>
        <w:t>kommuner</w:t>
      </w:r>
      <w:r w:rsidRPr="00214CB2">
        <w:rPr>
          <w:i/>
          <w:iCs/>
          <w:noProof/>
          <w:sz w:val="18"/>
          <w:szCs w:val="20"/>
        </w:rPr>
        <w:t>.</w:t>
      </w:r>
    </w:p>
    <w:p w14:paraId="0067E004" w14:textId="57AC61AD" w:rsidR="003A59AE" w:rsidRPr="00420BCF" w:rsidRDefault="00214CB2" w:rsidP="003A59AE">
      <w:pPr>
        <w:spacing w:after="240" w:line="240" w:lineRule="auto"/>
        <w:rPr>
          <w:highlight w:val="red"/>
        </w:rPr>
      </w:pPr>
      <w:r>
        <w:rPr>
          <w:noProof/>
        </w:rPr>
        <w:drawing>
          <wp:inline distT="0" distB="0" distL="0" distR="0" wp14:anchorId="0B2C0AE2" wp14:editId="4F662107">
            <wp:extent cx="5039360" cy="3588385"/>
            <wp:effectExtent l="0" t="0" r="8890" b="12065"/>
            <wp:docPr id="9" name="Diagram 9">
              <a:extLst xmlns:a="http://schemas.openxmlformats.org/drawingml/2006/main">
                <a:ext uri="{FF2B5EF4-FFF2-40B4-BE49-F238E27FC236}">
                  <a16:creationId xmlns:a16="http://schemas.microsoft.com/office/drawing/2014/main" id="{79AE3B0A-9F46-4BDE-9C7A-2CA7F98D48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3A59AE" w:rsidRPr="00420BCF">
        <w:rPr>
          <w:noProof/>
          <w:highlight w:val="red"/>
        </w:rPr>
        <w:t xml:space="preserve"> </w:t>
      </w:r>
    </w:p>
    <w:p w14:paraId="0C4440BB" w14:textId="6DF8BDB9" w:rsidR="003A59AE" w:rsidRPr="00020B66" w:rsidRDefault="003A59AE" w:rsidP="003A59AE">
      <w:pPr>
        <w:pStyle w:val="Beskrivning"/>
      </w:pPr>
      <w:r w:rsidRPr="00214CB2">
        <w:t xml:space="preserve">Figur </w:t>
      </w:r>
      <w:r w:rsidR="005B6BFC">
        <w:fldChar w:fldCharType="begin"/>
      </w:r>
      <w:r w:rsidR="005B6BFC">
        <w:instrText xml:space="preserve"> SEQ Figur \* ARABIC </w:instrText>
      </w:r>
      <w:r w:rsidR="005B6BFC">
        <w:fldChar w:fldCharType="separate"/>
      </w:r>
      <w:r w:rsidRPr="00214CB2">
        <w:rPr>
          <w:noProof/>
        </w:rPr>
        <w:t>2</w:t>
      </w:r>
      <w:r w:rsidR="005B6BFC">
        <w:rPr>
          <w:noProof/>
        </w:rPr>
        <w:fldChar w:fldCharType="end"/>
      </w:r>
      <w:r w:rsidRPr="00214CB2">
        <w:t xml:space="preserve"> Årsavgifter för avfallshantering för exempelhushåll i flerbostadshus 20</w:t>
      </w:r>
      <w:r w:rsidR="00214CB2" w:rsidRPr="00214CB2">
        <w:t>23</w:t>
      </w:r>
      <w:r w:rsidRPr="00214CB2">
        <w:t xml:space="preserve"> i Sveriges </w:t>
      </w:r>
      <w:r w:rsidR="00214CB2" w:rsidRPr="00214CB2">
        <w:t xml:space="preserve">åtta </w:t>
      </w:r>
      <w:r w:rsidRPr="00214CB2">
        <w:t>stör</w:t>
      </w:r>
      <w:r w:rsidR="00214CB2" w:rsidRPr="00214CB2">
        <w:t>sta</w:t>
      </w:r>
      <w:r w:rsidRPr="00214CB2">
        <w:t xml:space="preserve"> kommuner </w:t>
      </w:r>
    </w:p>
    <w:p w14:paraId="56E48DDD" w14:textId="0BDE960C" w:rsidR="003346FC" w:rsidRPr="003346FC" w:rsidRDefault="003346FC" w:rsidP="003346FC">
      <w:pPr>
        <w:rPr>
          <w:rFonts w:eastAsia="Times New Roman"/>
          <w:sz w:val="24"/>
          <w:szCs w:val="28"/>
          <w:lang w:eastAsia="sv-SE"/>
        </w:rPr>
      </w:pPr>
      <w:r w:rsidRPr="003346FC">
        <w:rPr>
          <w:rFonts w:eastAsia="Times New Roman"/>
          <w:sz w:val="24"/>
          <w:szCs w:val="28"/>
          <w:lang w:eastAsia="sv-SE"/>
        </w:rPr>
        <w:t>Som en jämförelse har Stockholm vatten och avfall föreslagit att avfallsavgifterna ska öka med 24 procent för flerbostadshus och verksamheter, för småhus föreslås 12–22 procents höjning till 2024</w:t>
      </w:r>
      <w:r>
        <w:rPr>
          <w:rFonts w:eastAsia="Times New Roman"/>
          <w:sz w:val="24"/>
          <w:szCs w:val="28"/>
          <w:lang w:eastAsia="sv-SE"/>
        </w:rPr>
        <w:t xml:space="preserve"> i Stockholm</w:t>
      </w:r>
      <w:r w:rsidRPr="003346FC">
        <w:rPr>
          <w:rFonts w:eastAsia="Times New Roman"/>
          <w:sz w:val="24"/>
          <w:szCs w:val="28"/>
          <w:lang w:eastAsia="sv-SE"/>
        </w:rPr>
        <w:t xml:space="preserve">. Det motsvarar 336 kronor per år för ett </w:t>
      </w:r>
      <w:r>
        <w:rPr>
          <w:rFonts w:eastAsia="Times New Roman"/>
          <w:sz w:val="24"/>
          <w:szCs w:val="28"/>
          <w:lang w:eastAsia="sv-SE"/>
        </w:rPr>
        <w:t>stockholms</w:t>
      </w:r>
      <w:r w:rsidRPr="003346FC">
        <w:rPr>
          <w:rFonts w:eastAsia="Times New Roman"/>
          <w:sz w:val="24"/>
          <w:szCs w:val="28"/>
          <w:lang w:eastAsia="sv-SE"/>
        </w:rPr>
        <w:t>hushåll oavsett om de bor i ett småhus eller i en lägenhet.</w:t>
      </w:r>
    </w:p>
    <w:p w14:paraId="3173F657" w14:textId="0D88DF20" w:rsidR="003A59AE" w:rsidRDefault="003A59AE" w:rsidP="003A59AE">
      <w:pPr>
        <w:pStyle w:val="Rubrik2"/>
      </w:pPr>
      <w:r w:rsidRPr="00334345">
        <w:t>Bedömning ur ekologisk dimension</w:t>
      </w:r>
    </w:p>
    <w:p w14:paraId="48BE281E" w14:textId="77777777" w:rsidR="003A59AE" w:rsidRPr="0060019D" w:rsidRDefault="003A59AE" w:rsidP="003A59AE">
      <w:pPr>
        <w:spacing w:after="120"/>
        <w:jc w:val="both"/>
        <w:rPr>
          <w:rFonts w:eastAsia="Times New Roman"/>
          <w:sz w:val="24"/>
          <w:szCs w:val="28"/>
          <w:lang w:eastAsia="sv-SE"/>
        </w:rPr>
      </w:pPr>
      <w:r w:rsidRPr="00DD00E2">
        <w:rPr>
          <w:rFonts w:ascii="Times New Roman" w:eastAsia="Times New Roman" w:hAnsi="Times New Roman" w:cs="Times New Roman"/>
          <w:sz w:val="24"/>
          <w:lang w:eastAsia="sv-SE"/>
        </w:rPr>
        <w:t xml:space="preserve">Den ekonomiska styrningen i taxan ger </w:t>
      </w:r>
      <w:r w:rsidRPr="0060019D">
        <w:rPr>
          <w:rFonts w:eastAsia="Times New Roman"/>
          <w:sz w:val="24"/>
          <w:szCs w:val="28"/>
          <w:lang w:eastAsia="sv-SE"/>
        </w:rPr>
        <w:t xml:space="preserve">kunderna ett incitament till avfallsminimering och källsortering av avfall. </w:t>
      </w:r>
    </w:p>
    <w:p w14:paraId="4215EFCC" w14:textId="463D8D39" w:rsidR="003A59AE" w:rsidRPr="0060019D" w:rsidRDefault="003A59AE" w:rsidP="003A59AE">
      <w:pPr>
        <w:spacing w:after="120"/>
        <w:jc w:val="both"/>
        <w:rPr>
          <w:rFonts w:eastAsia="Times New Roman"/>
          <w:sz w:val="24"/>
          <w:szCs w:val="28"/>
          <w:lang w:eastAsia="sv-SE"/>
        </w:rPr>
      </w:pPr>
      <w:r w:rsidRPr="0060019D">
        <w:rPr>
          <w:rFonts w:eastAsia="Times New Roman"/>
          <w:sz w:val="24"/>
          <w:szCs w:val="28"/>
          <w:lang w:eastAsia="sv-SE"/>
        </w:rPr>
        <w:t xml:space="preserve">Val av tjänster med utsortering av matavfall premieras </w:t>
      </w:r>
      <w:r w:rsidR="00420BCF">
        <w:rPr>
          <w:rFonts w:eastAsia="Times New Roman"/>
          <w:sz w:val="24"/>
          <w:szCs w:val="28"/>
          <w:lang w:eastAsia="sv-SE"/>
        </w:rPr>
        <w:t xml:space="preserve">även 2024 </w:t>
      </w:r>
      <w:r w:rsidRPr="0060019D">
        <w:rPr>
          <w:rFonts w:eastAsia="Times New Roman"/>
          <w:sz w:val="24"/>
          <w:szCs w:val="28"/>
          <w:lang w:eastAsia="sv-SE"/>
        </w:rPr>
        <w:t>genom lägre avgifter</w:t>
      </w:r>
      <w:r w:rsidR="00420BCF">
        <w:rPr>
          <w:rFonts w:eastAsia="Times New Roman"/>
          <w:sz w:val="24"/>
          <w:szCs w:val="28"/>
          <w:lang w:eastAsia="sv-SE"/>
        </w:rPr>
        <w:t>, men en övergång till obligatorisk sortering pågår</w:t>
      </w:r>
      <w:r w:rsidRPr="0060019D">
        <w:rPr>
          <w:rFonts w:eastAsia="Times New Roman"/>
          <w:sz w:val="24"/>
          <w:szCs w:val="28"/>
          <w:lang w:eastAsia="sv-SE"/>
        </w:rPr>
        <w:t>. Utsortering av förpackningar, tidningar, matavfall samt</w:t>
      </w:r>
      <w:r w:rsidR="00420BCF">
        <w:rPr>
          <w:rFonts w:eastAsia="Times New Roman"/>
          <w:sz w:val="24"/>
          <w:szCs w:val="28"/>
          <w:lang w:eastAsia="sv-SE"/>
        </w:rPr>
        <w:t xml:space="preserve"> att agera</w:t>
      </w:r>
      <w:r w:rsidRPr="0060019D">
        <w:rPr>
          <w:rFonts w:eastAsia="Times New Roman"/>
          <w:sz w:val="24"/>
          <w:szCs w:val="28"/>
          <w:lang w:eastAsia="sv-SE"/>
        </w:rPr>
        <w:t xml:space="preserve"> förebyggande uppmuntras </w:t>
      </w:r>
      <w:r>
        <w:rPr>
          <w:rFonts w:eastAsia="Times New Roman"/>
          <w:sz w:val="24"/>
          <w:szCs w:val="28"/>
          <w:lang w:eastAsia="sv-SE"/>
        </w:rPr>
        <w:t xml:space="preserve">både </w:t>
      </w:r>
      <w:r w:rsidRPr="0060019D">
        <w:rPr>
          <w:rFonts w:eastAsia="Times New Roman"/>
          <w:sz w:val="24"/>
          <w:szCs w:val="28"/>
          <w:lang w:eastAsia="sv-SE"/>
        </w:rPr>
        <w:t>genom vikttaxan och genom att avgifterna beror av abonnerad volym. Avgifter för dragvägar och hissar minskar tid</w:t>
      </w:r>
      <w:r>
        <w:rPr>
          <w:rFonts w:eastAsia="Times New Roman"/>
          <w:sz w:val="24"/>
          <w:szCs w:val="28"/>
          <w:lang w:eastAsia="sv-SE"/>
        </w:rPr>
        <w:t>såtgång</w:t>
      </w:r>
      <w:r w:rsidRPr="0060019D">
        <w:rPr>
          <w:rFonts w:eastAsia="Times New Roman"/>
          <w:sz w:val="24"/>
          <w:szCs w:val="28"/>
          <w:lang w:eastAsia="sv-SE"/>
        </w:rPr>
        <w:t xml:space="preserve"> för manuell hämtning och därmed tomgångskörning.</w:t>
      </w:r>
    </w:p>
    <w:p w14:paraId="5339AE4A" w14:textId="77777777" w:rsidR="003A59AE" w:rsidRPr="00334345" w:rsidRDefault="003A59AE" w:rsidP="003A59AE">
      <w:pPr>
        <w:pStyle w:val="Rubrik2"/>
      </w:pPr>
      <w:r w:rsidRPr="00334345">
        <w:t>Bedömning ur social dimension</w:t>
      </w:r>
    </w:p>
    <w:p w14:paraId="31E70CCE" w14:textId="7A01E9B9" w:rsidR="00231477" w:rsidRPr="00231477" w:rsidRDefault="003A59AE" w:rsidP="00231477">
      <w:r w:rsidRPr="003A59AE">
        <w:rPr>
          <w:rFonts w:eastAsia="Times New Roman"/>
          <w:sz w:val="24"/>
          <w:szCs w:val="28"/>
          <w:lang w:eastAsia="sv-SE"/>
        </w:rPr>
        <w:t xml:space="preserve">Förvaltningen bedömer att viktavgiften innebär högre kostnader för de hushåll och verksamheter där det används många engångsblöjor och andra liknande produkter och som direkt debiteras sin avfallsvikt. Detta kan drabba villahushåll där det bor spädbarn </w:t>
      </w:r>
      <w:r>
        <w:rPr>
          <w:rFonts w:eastAsia="Times New Roman"/>
          <w:sz w:val="24"/>
          <w:szCs w:val="28"/>
          <w:lang w:eastAsia="sv-SE"/>
        </w:rPr>
        <w:t xml:space="preserve">eller </w:t>
      </w:r>
      <w:r w:rsidRPr="003A59AE">
        <w:rPr>
          <w:rFonts w:eastAsia="Times New Roman"/>
          <w:sz w:val="24"/>
          <w:szCs w:val="28"/>
          <w:lang w:eastAsia="sv-SE"/>
        </w:rPr>
        <w:t xml:space="preserve">personer </w:t>
      </w:r>
      <w:r>
        <w:rPr>
          <w:rFonts w:eastAsia="Times New Roman"/>
          <w:sz w:val="24"/>
          <w:szCs w:val="28"/>
          <w:lang w:eastAsia="sv-SE"/>
        </w:rPr>
        <w:t xml:space="preserve">som har </w:t>
      </w:r>
      <w:r w:rsidRPr="003A59AE">
        <w:rPr>
          <w:rFonts w:eastAsia="Times New Roman"/>
          <w:sz w:val="24"/>
          <w:szCs w:val="28"/>
          <w:lang w:eastAsia="sv-SE"/>
        </w:rPr>
        <w:t>funktions</w:t>
      </w:r>
      <w:r>
        <w:rPr>
          <w:rFonts w:eastAsia="Times New Roman"/>
          <w:sz w:val="24"/>
          <w:szCs w:val="28"/>
          <w:lang w:eastAsia="sv-SE"/>
        </w:rPr>
        <w:t>nedsättningar</w:t>
      </w:r>
      <w:r w:rsidRPr="003A59AE">
        <w:rPr>
          <w:rFonts w:eastAsia="Times New Roman"/>
          <w:sz w:val="24"/>
          <w:szCs w:val="28"/>
          <w:lang w:eastAsia="sv-SE"/>
        </w:rPr>
        <w:t xml:space="preserve"> eller sjukdomar hårdare än andra hushåll. I flerbostadshus förväntas avfallsvikterna jämna ut sig mellan olika hushåll med olika mycket avfall och den fördelningen innebär att effekten på enskilda hushåll blir mindre i flerbostäder. </w:t>
      </w:r>
    </w:p>
    <w:sectPr w:rsidR="00231477" w:rsidRPr="00231477" w:rsidSect="00BA1320">
      <w:footerReference w:type="defaul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2B3C" w14:textId="77777777" w:rsidR="00D80B7A" w:rsidRDefault="00D80B7A" w:rsidP="00BF282B">
      <w:pPr>
        <w:spacing w:after="0" w:line="240" w:lineRule="auto"/>
      </w:pPr>
      <w:r>
        <w:separator/>
      </w:r>
    </w:p>
  </w:endnote>
  <w:endnote w:type="continuationSeparator" w:id="0">
    <w:p w14:paraId="44113AD5" w14:textId="77777777" w:rsidR="00D80B7A" w:rsidRDefault="00D80B7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4F7EC5FF" w14:textId="77777777" w:rsidTr="00A11FFD">
      <w:sdt>
        <w:sdtPr>
          <w:alias w:val="Titel"/>
          <w:tag w:val=""/>
          <w:id w:val="118277679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17B534BF" w14:textId="77777777" w:rsidR="00647C8D" w:rsidRPr="00841810" w:rsidRDefault="00647C8D" w:rsidP="00647C8D">
              <w:pPr>
                <w:pStyle w:val="Sidfot"/>
              </w:pPr>
              <w:r>
                <w:t xml:space="preserve">Göteborgs Stad </w:t>
              </w:r>
              <w:r w:rsidR="00231477">
                <w:t>Kretslopp och vatten</w:t>
              </w:r>
              <w:r>
                <w:t>, tjänsteutlåtande</w:t>
              </w:r>
            </w:p>
          </w:tc>
        </w:sdtContent>
      </w:sdt>
      <w:tc>
        <w:tcPr>
          <w:tcW w:w="1134" w:type="dxa"/>
        </w:tcPr>
        <w:p w14:paraId="1DB54E05"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D7E999C"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7BF5E38D" w14:textId="77777777" w:rsidTr="00A11FFD">
      <w:sdt>
        <w:sdtPr>
          <w:alias w:val="Titel"/>
          <w:tag w:val=""/>
          <w:id w:val="99152236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4C9CF925" w14:textId="77777777" w:rsidR="00647C8D" w:rsidRPr="00841810" w:rsidRDefault="00231477" w:rsidP="00647C8D">
              <w:pPr>
                <w:pStyle w:val="Sidfot"/>
              </w:pPr>
              <w:r>
                <w:t>Göteborgs Stad Kretslopp och vatten, tjänsteutlåtande</w:t>
              </w:r>
            </w:p>
          </w:tc>
        </w:sdtContent>
      </w:sdt>
      <w:tc>
        <w:tcPr>
          <w:tcW w:w="1134" w:type="dxa"/>
        </w:tcPr>
        <w:p w14:paraId="3D0ECDB1"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32799C7"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C5BB" w14:textId="77777777" w:rsidR="00D80B7A" w:rsidRDefault="00D80B7A" w:rsidP="00BF282B">
      <w:pPr>
        <w:spacing w:after="0" w:line="240" w:lineRule="auto"/>
      </w:pPr>
      <w:r>
        <w:separator/>
      </w:r>
    </w:p>
  </w:footnote>
  <w:footnote w:type="continuationSeparator" w:id="0">
    <w:p w14:paraId="23169FD8" w14:textId="77777777" w:rsidR="00D80B7A" w:rsidRDefault="00D80B7A"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CC5BBD"/>
    <w:multiLevelType w:val="hybridMultilevel"/>
    <w:tmpl w:val="A5C6238C"/>
    <w:lvl w:ilvl="0" w:tplc="E60E2F52">
      <w:start w:val="203"/>
      <w:numFmt w:val="bullet"/>
      <w:lvlText w:val="-"/>
      <w:lvlJc w:val="left"/>
      <w:pPr>
        <w:ind w:left="408" w:hanging="360"/>
      </w:pPr>
      <w:rPr>
        <w:rFonts w:ascii="Calibri" w:eastAsia="Times New Roman" w:hAnsi="Calibri" w:cs="Calibr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15:restartNumberingAfterBreak="0">
    <w:nsid w:val="46317CC6"/>
    <w:multiLevelType w:val="hybridMultilevel"/>
    <w:tmpl w:val="0CB4C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D625F2"/>
    <w:multiLevelType w:val="hybridMultilevel"/>
    <w:tmpl w:val="CC0210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823EC2"/>
    <w:multiLevelType w:val="hybridMultilevel"/>
    <w:tmpl w:val="B61613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0154575"/>
    <w:multiLevelType w:val="hybridMultilevel"/>
    <w:tmpl w:val="A08EFD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239558587">
    <w:abstractNumId w:val="6"/>
  </w:num>
  <w:num w:numId="2" w16cid:durableId="355933086">
    <w:abstractNumId w:val="2"/>
  </w:num>
  <w:num w:numId="3" w16cid:durableId="250429636">
    <w:abstractNumId w:val="10"/>
  </w:num>
  <w:num w:numId="4" w16cid:durableId="491876059">
    <w:abstractNumId w:val="3"/>
  </w:num>
  <w:num w:numId="5" w16cid:durableId="1662269363">
    <w:abstractNumId w:val="11"/>
  </w:num>
  <w:num w:numId="6" w16cid:durableId="287322750">
    <w:abstractNumId w:val="9"/>
  </w:num>
  <w:num w:numId="7" w16cid:durableId="2146921019">
    <w:abstractNumId w:val="0"/>
  </w:num>
  <w:num w:numId="8" w16cid:durableId="1300840290">
    <w:abstractNumId w:val="8"/>
  </w:num>
  <w:num w:numId="9" w16cid:durableId="1514295651">
    <w:abstractNumId w:val="5"/>
  </w:num>
  <w:num w:numId="10" w16cid:durableId="501356622">
    <w:abstractNumId w:val="7"/>
  </w:num>
  <w:num w:numId="11" w16cid:durableId="263806212">
    <w:abstractNumId w:val="4"/>
  </w:num>
  <w:num w:numId="12" w16cid:durableId="668750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707CC"/>
    <w:rsid w:val="000A1117"/>
    <w:rsid w:val="000C398E"/>
    <w:rsid w:val="000C68BA"/>
    <w:rsid w:val="000F2B85"/>
    <w:rsid w:val="00103693"/>
    <w:rsid w:val="0010722B"/>
    <w:rsid w:val="0011061F"/>
    <w:rsid w:val="0011381D"/>
    <w:rsid w:val="0012181D"/>
    <w:rsid w:val="00132CB6"/>
    <w:rsid w:val="00142FEF"/>
    <w:rsid w:val="00173F0C"/>
    <w:rsid w:val="00182BA0"/>
    <w:rsid w:val="001A061E"/>
    <w:rsid w:val="001A07D0"/>
    <w:rsid w:val="001B3FF4"/>
    <w:rsid w:val="001B7AA7"/>
    <w:rsid w:val="001C2218"/>
    <w:rsid w:val="001D645F"/>
    <w:rsid w:val="001F0164"/>
    <w:rsid w:val="001F443C"/>
    <w:rsid w:val="00205C32"/>
    <w:rsid w:val="00214CB2"/>
    <w:rsid w:val="00231477"/>
    <w:rsid w:val="00241F59"/>
    <w:rsid w:val="00257F49"/>
    <w:rsid w:val="00261E5E"/>
    <w:rsid w:val="002A4CCB"/>
    <w:rsid w:val="003164EC"/>
    <w:rsid w:val="00332A7F"/>
    <w:rsid w:val="003346FC"/>
    <w:rsid w:val="003413FA"/>
    <w:rsid w:val="00350FEF"/>
    <w:rsid w:val="00353AC6"/>
    <w:rsid w:val="00372CB4"/>
    <w:rsid w:val="003916F9"/>
    <w:rsid w:val="003A59AE"/>
    <w:rsid w:val="003B660F"/>
    <w:rsid w:val="003F09C7"/>
    <w:rsid w:val="003F21CC"/>
    <w:rsid w:val="003F4EF3"/>
    <w:rsid w:val="003F7BE3"/>
    <w:rsid w:val="00410369"/>
    <w:rsid w:val="00414E79"/>
    <w:rsid w:val="00420BCF"/>
    <w:rsid w:val="00440D30"/>
    <w:rsid w:val="004727D0"/>
    <w:rsid w:val="00473C11"/>
    <w:rsid w:val="004769EC"/>
    <w:rsid w:val="004A5252"/>
    <w:rsid w:val="004B287C"/>
    <w:rsid w:val="004C0571"/>
    <w:rsid w:val="004C78B0"/>
    <w:rsid w:val="00515297"/>
    <w:rsid w:val="00521790"/>
    <w:rsid w:val="005729A0"/>
    <w:rsid w:val="005749C6"/>
    <w:rsid w:val="00597ACB"/>
    <w:rsid w:val="005B6BFC"/>
    <w:rsid w:val="005D0390"/>
    <w:rsid w:val="005E6622"/>
    <w:rsid w:val="005F5390"/>
    <w:rsid w:val="00603751"/>
    <w:rsid w:val="00613965"/>
    <w:rsid w:val="00647C8D"/>
    <w:rsid w:val="00674687"/>
    <w:rsid w:val="00690A7F"/>
    <w:rsid w:val="006D0D87"/>
    <w:rsid w:val="006E618B"/>
    <w:rsid w:val="006F1529"/>
    <w:rsid w:val="00703A6D"/>
    <w:rsid w:val="007162F0"/>
    <w:rsid w:val="00720B05"/>
    <w:rsid w:val="007342E0"/>
    <w:rsid w:val="00745387"/>
    <w:rsid w:val="00757B3A"/>
    <w:rsid w:val="00766929"/>
    <w:rsid w:val="00770200"/>
    <w:rsid w:val="007868CB"/>
    <w:rsid w:val="007B053D"/>
    <w:rsid w:val="007C46B8"/>
    <w:rsid w:val="007C6E7F"/>
    <w:rsid w:val="007D3611"/>
    <w:rsid w:val="007E234D"/>
    <w:rsid w:val="007F76F5"/>
    <w:rsid w:val="00831E91"/>
    <w:rsid w:val="00842FC8"/>
    <w:rsid w:val="008760F6"/>
    <w:rsid w:val="008B0468"/>
    <w:rsid w:val="008C0B6F"/>
    <w:rsid w:val="009003DD"/>
    <w:rsid w:val="00931857"/>
    <w:rsid w:val="009433F3"/>
    <w:rsid w:val="00970E3C"/>
    <w:rsid w:val="00985ACB"/>
    <w:rsid w:val="00990F9D"/>
    <w:rsid w:val="009B4E2A"/>
    <w:rsid w:val="009B590D"/>
    <w:rsid w:val="009D4D5C"/>
    <w:rsid w:val="00A074B5"/>
    <w:rsid w:val="00A345C1"/>
    <w:rsid w:val="00A3668C"/>
    <w:rsid w:val="00A47AD9"/>
    <w:rsid w:val="00A53F59"/>
    <w:rsid w:val="00A8112E"/>
    <w:rsid w:val="00AA0284"/>
    <w:rsid w:val="00AA411F"/>
    <w:rsid w:val="00AA7CA5"/>
    <w:rsid w:val="00AE1934"/>
    <w:rsid w:val="00AE3EE4"/>
    <w:rsid w:val="00AE5147"/>
    <w:rsid w:val="00AE5F41"/>
    <w:rsid w:val="00B353ED"/>
    <w:rsid w:val="00B43C21"/>
    <w:rsid w:val="00B456FF"/>
    <w:rsid w:val="00B63E0E"/>
    <w:rsid w:val="00B75282"/>
    <w:rsid w:val="00BA1320"/>
    <w:rsid w:val="00BB44F3"/>
    <w:rsid w:val="00BD0663"/>
    <w:rsid w:val="00BD2E64"/>
    <w:rsid w:val="00BF282B"/>
    <w:rsid w:val="00C025B9"/>
    <w:rsid w:val="00C0363D"/>
    <w:rsid w:val="00C26C7B"/>
    <w:rsid w:val="00C50968"/>
    <w:rsid w:val="00C85A21"/>
    <w:rsid w:val="00C86796"/>
    <w:rsid w:val="00C932AC"/>
    <w:rsid w:val="00CB2443"/>
    <w:rsid w:val="00CC2DA0"/>
    <w:rsid w:val="00CD1EDF"/>
    <w:rsid w:val="00CD42F7"/>
    <w:rsid w:val="00D21D96"/>
    <w:rsid w:val="00D22966"/>
    <w:rsid w:val="00D80B7A"/>
    <w:rsid w:val="00D96488"/>
    <w:rsid w:val="00DC59E4"/>
    <w:rsid w:val="00DC6E79"/>
    <w:rsid w:val="00DF152D"/>
    <w:rsid w:val="00DF1A22"/>
    <w:rsid w:val="00E11731"/>
    <w:rsid w:val="00E42537"/>
    <w:rsid w:val="00E615BA"/>
    <w:rsid w:val="00E77DF4"/>
    <w:rsid w:val="00E92E25"/>
    <w:rsid w:val="00EB7E83"/>
    <w:rsid w:val="00EF388D"/>
    <w:rsid w:val="00F4117C"/>
    <w:rsid w:val="00F57801"/>
    <w:rsid w:val="00F66187"/>
    <w:rsid w:val="00F74C69"/>
    <w:rsid w:val="00F75BF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0F88"/>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 w:type="paragraph" w:styleId="Brdtext">
    <w:name w:val="Body Text"/>
    <w:basedOn w:val="Normal"/>
    <w:link w:val="BrdtextChar"/>
    <w:rsid w:val="00231477"/>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rsid w:val="00231477"/>
    <w:rPr>
      <w:rFonts w:ascii="Times New Roman" w:eastAsia="Times New Roman" w:hAnsi="Times New Roman" w:cs="Times New Roman"/>
      <w:lang w:eastAsia="sv-SE"/>
    </w:rPr>
  </w:style>
  <w:style w:type="table" w:styleId="Rutntstabell5mrkdekorfrg1">
    <w:name w:val="Grid Table 5 Dark Accent 1"/>
    <w:basedOn w:val="Normaltabell"/>
    <w:uiPriority w:val="50"/>
    <w:rsid w:val="003A59A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BC" w:themeFill="accent1"/>
      </w:tcPr>
    </w:tblStylePr>
    <w:tblStylePr w:type="band1Vert">
      <w:tblPr/>
      <w:tcPr>
        <w:shd w:val="clear" w:color="auto" w:fill="7ECFFF" w:themeFill="accent1" w:themeFillTint="66"/>
      </w:tcPr>
    </w:tblStylePr>
    <w:tblStylePr w:type="band1Horz">
      <w:tblPr/>
      <w:tcPr>
        <w:shd w:val="clear" w:color="auto" w:fill="7ECFFF" w:themeFill="accent1" w:themeFillTint="66"/>
      </w:tcPr>
    </w:tblStylePr>
  </w:style>
  <w:style w:type="table" w:styleId="Oformateradtabell4">
    <w:name w:val="Plain Table 4"/>
    <w:basedOn w:val="Normaltabell"/>
    <w:uiPriority w:val="44"/>
    <w:rsid w:val="00DF1A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ell7frgstarkdekorfrg5">
    <w:name w:val="List Table 7 Colorful Accent 5"/>
    <w:basedOn w:val="Normaltabell"/>
    <w:uiPriority w:val="52"/>
    <w:rsid w:val="00DF1A22"/>
    <w:pPr>
      <w:spacing w:after="0"/>
    </w:pPr>
    <w:rPr>
      <w:color w:val="00654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76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76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76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767" w:themeColor="accent5"/>
        </w:tcBorders>
        <w:shd w:val="clear" w:color="auto" w:fill="FFFFFF" w:themeFill="background1"/>
      </w:tcPr>
    </w:tblStylePr>
    <w:tblStylePr w:type="band1Vert">
      <w:tblPr/>
      <w:tcPr>
        <w:shd w:val="clear" w:color="auto" w:fill="B4FFED" w:themeFill="accent5" w:themeFillTint="33"/>
      </w:tcPr>
    </w:tblStylePr>
    <w:tblStylePr w:type="band1Horz">
      <w:tblPr/>
      <w:tcPr>
        <w:shd w:val="clear" w:color="auto" w:fill="B4FF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7frgstarkdekorfrg5">
    <w:name w:val="Grid Table 7 Colorful Accent 5"/>
    <w:basedOn w:val="Normaltabell"/>
    <w:uiPriority w:val="52"/>
    <w:rsid w:val="00674687"/>
    <w:pPr>
      <w:spacing w:after="0"/>
    </w:pPr>
    <w:rPr>
      <w:color w:val="00654C" w:themeColor="accent5" w:themeShade="BF"/>
    </w:rPr>
    <w:tblPr>
      <w:tblStyleRowBandSize w:val="1"/>
      <w:tblStyleColBandSize w:val="1"/>
      <w:tblBorders>
        <w:top w:val="single" w:sz="4" w:space="0" w:color="1EFFC9" w:themeColor="accent5" w:themeTint="99"/>
        <w:left w:val="single" w:sz="4" w:space="0" w:color="1EFFC9" w:themeColor="accent5" w:themeTint="99"/>
        <w:bottom w:val="single" w:sz="4" w:space="0" w:color="1EFFC9" w:themeColor="accent5" w:themeTint="99"/>
        <w:right w:val="single" w:sz="4" w:space="0" w:color="1EFFC9" w:themeColor="accent5" w:themeTint="99"/>
        <w:insideH w:val="single" w:sz="4" w:space="0" w:color="1EFFC9" w:themeColor="accent5" w:themeTint="99"/>
        <w:insideV w:val="single" w:sz="4" w:space="0" w:color="1EFF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FED" w:themeFill="accent5" w:themeFillTint="33"/>
      </w:tcPr>
    </w:tblStylePr>
    <w:tblStylePr w:type="band1Horz">
      <w:tblPr/>
      <w:tcPr>
        <w:shd w:val="clear" w:color="auto" w:fill="B4FFED" w:themeFill="accent5" w:themeFillTint="33"/>
      </w:tcPr>
    </w:tblStylePr>
    <w:tblStylePr w:type="neCell">
      <w:tblPr/>
      <w:tcPr>
        <w:tcBorders>
          <w:bottom w:val="single" w:sz="4" w:space="0" w:color="1EFFC9" w:themeColor="accent5" w:themeTint="99"/>
        </w:tcBorders>
      </w:tcPr>
    </w:tblStylePr>
    <w:tblStylePr w:type="nwCell">
      <w:tblPr/>
      <w:tcPr>
        <w:tcBorders>
          <w:bottom w:val="single" w:sz="4" w:space="0" w:color="1EFFC9" w:themeColor="accent5" w:themeTint="99"/>
        </w:tcBorders>
      </w:tcPr>
    </w:tblStylePr>
    <w:tblStylePr w:type="seCell">
      <w:tblPr/>
      <w:tcPr>
        <w:tcBorders>
          <w:top w:val="single" w:sz="4" w:space="0" w:color="1EFFC9" w:themeColor="accent5" w:themeTint="99"/>
        </w:tcBorders>
      </w:tcPr>
    </w:tblStylePr>
    <w:tblStylePr w:type="swCell">
      <w:tblPr/>
      <w:tcPr>
        <w:tcBorders>
          <w:top w:val="single" w:sz="4" w:space="0" w:color="1EFFC9" w:themeColor="accent5" w:themeTint="99"/>
        </w:tcBorders>
      </w:tcPr>
    </w:tblStylePr>
  </w:style>
  <w:style w:type="table" w:styleId="Rutntstabell1ljusdekorfrg5">
    <w:name w:val="Grid Table 1 Light Accent 5"/>
    <w:basedOn w:val="Normaltabell"/>
    <w:uiPriority w:val="46"/>
    <w:rsid w:val="00674687"/>
    <w:pPr>
      <w:spacing w:after="0"/>
    </w:pPr>
    <w:tblPr>
      <w:tblStyleRowBandSize w:val="1"/>
      <w:tblStyleColBandSize w:val="1"/>
      <w:tblBorders>
        <w:top w:val="single" w:sz="4" w:space="0" w:color="69FFDB" w:themeColor="accent5" w:themeTint="66"/>
        <w:left w:val="single" w:sz="4" w:space="0" w:color="69FFDB" w:themeColor="accent5" w:themeTint="66"/>
        <w:bottom w:val="single" w:sz="4" w:space="0" w:color="69FFDB" w:themeColor="accent5" w:themeTint="66"/>
        <w:right w:val="single" w:sz="4" w:space="0" w:color="69FFDB" w:themeColor="accent5" w:themeTint="66"/>
        <w:insideH w:val="single" w:sz="4" w:space="0" w:color="69FFDB" w:themeColor="accent5" w:themeTint="66"/>
        <w:insideV w:val="single" w:sz="4" w:space="0" w:color="69FFDB" w:themeColor="accent5" w:themeTint="66"/>
      </w:tblBorders>
    </w:tblPr>
    <w:tblStylePr w:type="firstRow">
      <w:rPr>
        <w:b/>
        <w:bCs/>
      </w:rPr>
      <w:tblPr/>
      <w:tcPr>
        <w:tcBorders>
          <w:bottom w:val="single" w:sz="12" w:space="0" w:color="1EFFC9" w:themeColor="accent5" w:themeTint="99"/>
        </w:tcBorders>
      </w:tcPr>
    </w:tblStylePr>
    <w:tblStylePr w:type="lastRow">
      <w:rPr>
        <w:b/>
        <w:bCs/>
      </w:rPr>
      <w:tblPr/>
      <w:tcPr>
        <w:tcBorders>
          <w:top w:val="double" w:sz="2" w:space="0" w:color="1EFFC9" w:themeColor="accent5" w:themeTint="99"/>
        </w:tcBorders>
      </w:tcPr>
    </w:tblStylePr>
    <w:tblStylePr w:type="firstCol">
      <w:rPr>
        <w:b/>
        <w:bCs/>
      </w:rPr>
    </w:tblStylePr>
    <w:tblStylePr w:type="lastCol">
      <w:rPr>
        <w:b/>
        <w:bCs/>
      </w:rPr>
    </w:tblStylePr>
  </w:style>
  <w:style w:type="table" w:styleId="Rutntstabell5mrkdekorfrg5">
    <w:name w:val="Grid Table 5 Dark Accent 5"/>
    <w:basedOn w:val="Normaltabell"/>
    <w:uiPriority w:val="50"/>
    <w:rsid w:val="0067468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F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76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76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76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767" w:themeFill="accent5"/>
      </w:tcPr>
    </w:tblStylePr>
    <w:tblStylePr w:type="band1Vert">
      <w:tblPr/>
      <w:tcPr>
        <w:shd w:val="clear" w:color="auto" w:fill="69FFDB" w:themeFill="accent5" w:themeFillTint="66"/>
      </w:tcPr>
    </w:tblStylePr>
    <w:tblStylePr w:type="band1Horz">
      <w:tblPr/>
      <w:tcPr>
        <w:shd w:val="clear" w:color="auto" w:fill="69FFDB" w:themeFill="accent5" w:themeFillTint="66"/>
      </w:tcPr>
    </w:tblStylePr>
  </w:style>
  <w:style w:type="table" w:styleId="Listtabell7frgstarkdekorfrg1">
    <w:name w:val="List Table 7 Colorful Accent 1"/>
    <w:basedOn w:val="Normaltabell"/>
    <w:uiPriority w:val="52"/>
    <w:rsid w:val="00674687"/>
    <w:pPr>
      <w:spacing w:after="0"/>
    </w:pPr>
    <w:rPr>
      <w:color w:val="0058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BC" w:themeColor="accent1"/>
        </w:tcBorders>
        <w:shd w:val="clear" w:color="auto" w:fill="FFFFFF" w:themeFill="background1"/>
      </w:tcPr>
    </w:tblStylePr>
    <w:tblStylePr w:type="band1Vert">
      <w:tblPr/>
      <w:tcPr>
        <w:shd w:val="clear" w:color="auto" w:fill="BEE7FF" w:themeFill="accent1" w:themeFillTint="33"/>
      </w:tcPr>
    </w:tblStylePr>
    <w:tblStylePr w:type="band1Horz">
      <w:tblPr/>
      <w:tcPr>
        <w:shd w:val="clear" w:color="auto" w:fill="BEE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1ljusdekorfrg1">
    <w:name w:val="Grid Table 1 Light Accent 1"/>
    <w:basedOn w:val="Normaltabell"/>
    <w:uiPriority w:val="46"/>
    <w:rsid w:val="00674687"/>
    <w:pPr>
      <w:spacing w:after="0"/>
    </w:pPr>
    <w:tblPr>
      <w:tblStyleRowBandSize w:val="1"/>
      <w:tblStyleColBandSize w:val="1"/>
      <w:tblBorders>
        <w:top w:val="single" w:sz="4" w:space="0" w:color="7ECFFF" w:themeColor="accent1" w:themeTint="66"/>
        <w:left w:val="single" w:sz="4" w:space="0" w:color="7ECFFF" w:themeColor="accent1" w:themeTint="66"/>
        <w:bottom w:val="single" w:sz="4" w:space="0" w:color="7ECFFF" w:themeColor="accent1" w:themeTint="66"/>
        <w:right w:val="single" w:sz="4" w:space="0" w:color="7ECFFF" w:themeColor="accent1" w:themeTint="66"/>
        <w:insideH w:val="single" w:sz="4" w:space="0" w:color="7ECFFF" w:themeColor="accent1" w:themeTint="66"/>
        <w:insideV w:val="single" w:sz="4" w:space="0" w:color="7ECFFF" w:themeColor="accent1" w:themeTint="66"/>
      </w:tblBorders>
    </w:tblPr>
    <w:tblStylePr w:type="firstRow">
      <w:rPr>
        <w:b/>
        <w:bCs/>
      </w:rPr>
      <w:tblPr/>
      <w:tcPr>
        <w:tcBorders>
          <w:bottom w:val="single" w:sz="12" w:space="0" w:color="3DB7FF" w:themeColor="accent1" w:themeTint="99"/>
        </w:tcBorders>
      </w:tcPr>
    </w:tblStylePr>
    <w:tblStylePr w:type="lastRow">
      <w:rPr>
        <w:b/>
        <w:bCs/>
      </w:rPr>
      <w:tblPr/>
      <w:tcPr>
        <w:tcBorders>
          <w:top w:val="double" w:sz="2" w:space="0" w:color="3DB7FF" w:themeColor="accent1" w:themeTint="99"/>
        </w:tcBorders>
      </w:tcPr>
    </w:tblStylePr>
    <w:tblStylePr w:type="firstCol">
      <w:rPr>
        <w:b/>
        <w:bCs/>
      </w:rPr>
    </w:tblStylePr>
    <w:tblStylePr w:type="lastCol">
      <w:rPr>
        <w:b/>
        <w:bCs/>
      </w:rPr>
    </w:tblStylePr>
  </w:style>
  <w:style w:type="table" w:styleId="Listtabell3dekorfrg1">
    <w:name w:val="List Table 3 Accent 1"/>
    <w:basedOn w:val="Normaltabell"/>
    <w:uiPriority w:val="48"/>
    <w:rsid w:val="00674687"/>
    <w:pPr>
      <w:spacing w:after="0"/>
    </w:pPr>
    <w:tblPr>
      <w:tblStyleRowBandSize w:val="1"/>
      <w:tblStyleColBandSize w:val="1"/>
      <w:tblBorders>
        <w:top w:val="single" w:sz="4" w:space="0" w:color="0077BC" w:themeColor="accent1"/>
        <w:left w:val="single" w:sz="4" w:space="0" w:color="0077BC" w:themeColor="accent1"/>
        <w:bottom w:val="single" w:sz="4" w:space="0" w:color="0077BC" w:themeColor="accent1"/>
        <w:right w:val="single" w:sz="4" w:space="0" w:color="0077BC" w:themeColor="accent1"/>
      </w:tblBorders>
    </w:tblPr>
    <w:tblStylePr w:type="firstRow">
      <w:rPr>
        <w:b/>
        <w:bCs/>
        <w:color w:val="FFFFFF" w:themeColor="background1"/>
      </w:rPr>
      <w:tblPr/>
      <w:tcPr>
        <w:shd w:val="clear" w:color="auto" w:fill="0077BC" w:themeFill="accent1"/>
      </w:tcPr>
    </w:tblStylePr>
    <w:tblStylePr w:type="lastRow">
      <w:rPr>
        <w:b/>
        <w:bCs/>
      </w:rPr>
      <w:tblPr/>
      <w:tcPr>
        <w:tcBorders>
          <w:top w:val="double" w:sz="4" w:space="0" w:color="0077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BC" w:themeColor="accent1"/>
          <w:right w:val="single" w:sz="4" w:space="0" w:color="0077BC" w:themeColor="accent1"/>
        </w:tcBorders>
      </w:tcPr>
    </w:tblStylePr>
    <w:tblStylePr w:type="band1Horz">
      <w:tblPr/>
      <w:tcPr>
        <w:tcBorders>
          <w:top w:val="single" w:sz="4" w:space="0" w:color="0077BC" w:themeColor="accent1"/>
          <w:bottom w:val="single" w:sz="4" w:space="0" w:color="0077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BC" w:themeColor="accent1"/>
          <w:left w:val="nil"/>
        </w:tcBorders>
      </w:tcPr>
    </w:tblStylePr>
    <w:tblStylePr w:type="swCell">
      <w:tblPr/>
      <w:tcPr>
        <w:tcBorders>
          <w:top w:val="double" w:sz="4" w:space="0" w:color="0077BC"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3388">
      <w:bodyDiv w:val="1"/>
      <w:marLeft w:val="0"/>
      <w:marRight w:val="0"/>
      <w:marTop w:val="0"/>
      <w:marBottom w:val="0"/>
      <w:divBdr>
        <w:top w:val="none" w:sz="0" w:space="0" w:color="auto"/>
        <w:left w:val="none" w:sz="0" w:space="0" w:color="auto"/>
        <w:bottom w:val="none" w:sz="0" w:space="0" w:color="auto"/>
        <w:right w:val="none" w:sz="0" w:space="0" w:color="auto"/>
      </w:divBdr>
    </w:div>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1039547530">
      <w:bodyDiv w:val="1"/>
      <w:marLeft w:val="0"/>
      <w:marRight w:val="0"/>
      <w:marTop w:val="0"/>
      <w:marBottom w:val="0"/>
      <w:divBdr>
        <w:top w:val="none" w:sz="0" w:space="0" w:color="auto"/>
        <w:left w:val="none" w:sz="0" w:space="0" w:color="auto"/>
        <w:bottom w:val="none" w:sz="0" w:space="0" w:color="auto"/>
        <w:right w:val="none" w:sz="0" w:space="0" w:color="auto"/>
      </w:divBdr>
    </w:div>
    <w:div w:id="1143742656">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Pt>
            <c:idx val="1"/>
            <c:invertIfNegative val="0"/>
            <c:bubble3D val="0"/>
            <c:spPr>
              <a:solidFill>
                <a:schemeClr val="accent3">
                  <a:lumMod val="60000"/>
                  <a:lumOff val="40000"/>
                </a:schemeClr>
              </a:solidFill>
            </c:spPr>
            <c:extLst>
              <c:ext xmlns:c16="http://schemas.microsoft.com/office/drawing/2014/chart" uri="{C3380CC4-5D6E-409C-BE32-E72D297353CC}">
                <c16:uniqueId val="{00000001-4563-43C8-873F-3B5E444E229A}"/>
              </c:ext>
            </c:extLst>
          </c:dPt>
          <c:dPt>
            <c:idx val="2"/>
            <c:invertIfNegative val="0"/>
            <c:bubble3D val="0"/>
            <c:extLst>
              <c:ext xmlns:c16="http://schemas.microsoft.com/office/drawing/2014/chart" uri="{C3380CC4-5D6E-409C-BE32-E72D297353CC}">
                <c16:uniqueId val="{00000002-4563-43C8-873F-3B5E444E229A}"/>
              </c:ext>
            </c:extLst>
          </c:dPt>
          <c:dPt>
            <c:idx val="4"/>
            <c:invertIfNegative val="0"/>
            <c:bubble3D val="0"/>
            <c:extLst>
              <c:ext xmlns:c16="http://schemas.microsoft.com/office/drawing/2014/chart" uri="{C3380CC4-5D6E-409C-BE32-E72D297353CC}">
                <c16:uniqueId val="{00000003-4563-43C8-873F-3B5E444E229A}"/>
              </c:ext>
            </c:extLst>
          </c:dPt>
          <c:cat>
            <c:strRef>
              <c:f>'2023-sort villa'!$A$4:$A$11</c:f>
              <c:strCache>
                <c:ptCount val="8"/>
                <c:pt idx="0">
                  <c:v>Linköping (vikttaxa)</c:v>
                </c:pt>
                <c:pt idx="1">
                  <c:v>Göteborg (vikttaxa)</c:v>
                </c:pt>
                <c:pt idx="2">
                  <c:v>Malmö (4-fack)</c:v>
                </c:pt>
                <c:pt idx="3">
                  <c:v>Örebro </c:v>
                </c:pt>
                <c:pt idx="4">
                  <c:v>Stockholm (vikttaxa)</c:v>
                </c:pt>
                <c:pt idx="5">
                  <c:v>Uppsala</c:v>
                </c:pt>
                <c:pt idx="6">
                  <c:v>Helsingborg (4-fack)</c:v>
                </c:pt>
                <c:pt idx="7">
                  <c:v>Västerås</c:v>
                </c:pt>
              </c:strCache>
            </c:strRef>
          </c:cat>
          <c:val>
            <c:numRef>
              <c:f>'2023-sort villa'!$B$4:$B$11</c:f>
              <c:numCache>
                <c:formatCode>#\ ##0\ "kr"</c:formatCode>
                <c:ptCount val="8"/>
                <c:pt idx="0">
                  <c:v>1859.6999999999998</c:v>
                </c:pt>
                <c:pt idx="1">
                  <c:v>2071</c:v>
                </c:pt>
                <c:pt idx="2">
                  <c:v>2320</c:v>
                </c:pt>
                <c:pt idx="3">
                  <c:v>2438</c:v>
                </c:pt>
                <c:pt idx="4">
                  <c:v>2701</c:v>
                </c:pt>
                <c:pt idx="5">
                  <c:v>2741</c:v>
                </c:pt>
                <c:pt idx="6">
                  <c:v>3085</c:v>
                </c:pt>
                <c:pt idx="7">
                  <c:v>3179</c:v>
                </c:pt>
              </c:numCache>
            </c:numRef>
          </c:val>
          <c:extLst>
            <c:ext xmlns:c16="http://schemas.microsoft.com/office/drawing/2014/chart" uri="{C3380CC4-5D6E-409C-BE32-E72D297353CC}">
              <c16:uniqueId val="{00000004-4563-43C8-873F-3B5E444E229A}"/>
            </c:ext>
          </c:extLst>
        </c:ser>
        <c:dLbls>
          <c:showLegendKey val="0"/>
          <c:showVal val="0"/>
          <c:showCatName val="0"/>
          <c:showSerName val="0"/>
          <c:showPercent val="0"/>
          <c:showBubbleSize val="0"/>
        </c:dLbls>
        <c:gapWidth val="150"/>
        <c:axId val="113621632"/>
        <c:axId val="113648000"/>
      </c:barChart>
      <c:catAx>
        <c:axId val="113621632"/>
        <c:scaling>
          <c:orientation val="minMax"/>
        </c:scaling>
        <c:delete val="0"/>
        <c:axPos val="b"/>
        <c:numFmt formatCode="General" sourceLinked="0"/>
        <c:majorTickMark val="out"/>
        <c:minorTickMark val="none"/>
        <c:tickLblPos val="nextTo"/>
        <c:crossAx val="113648000"/>
        <c:crosses val="autoZero"/>
        <c:auto val="1"/>
        <c:lblAlgn val="ctr"/>
        <c:lblOffset val="100"/>
        <c:noMultiLvlLbl val="0"/>
      </c:catAx>
      <c:valAx>
        <c:axId val="113648000"/>
        <c:scaling>
          <c:orientation val="minMax"/>
        </c:scaling>
        <c:delete val="0"/>
        <c:axPos val="l"/>
        <c:majorGridlines/>
        <c:numFmt formatCode="#\ ##0\ &quot;kr&quot;" sourceLinked="1"/>
        <c:majorTickMark val="out"/>
        <c:minorTickMark val="none"/>
        <c:tickLblPos val="nextTo"/>
        <c:crossAx val="1136216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01618547681574"/>
          <c:y val="4.6770924467774859E-2"/>
          <c:w val="0.82226290463692031"/>
          <c:h val="0.53637540099154268"/>
        </c:manualLayout>
      </c:layout>
      <c:barChart>
        <c:barDir val="col"/>
        <c:grouping val="clustered"/>
        <c:varyColors val="0"/>
        <c:ser>
          <c:idx val="0"/>
          <c:order val="0"/>
          <c:invertIfNegative val="0"/>
          <c:dPt>
            <c:idx val="4"/>
            <c:invertIfNegative val="0"/>
            <c:bubble3D val="0"/>
            <c:spPr>
              <a:solidFill>
                <a:schemeClr val="accent3">
                  <a:lumMod val="60000"/>
                  <a:lumOff val="40000"/>
                </a:schemeClr>
              </a:solidFill>
            </c:spPr>
            <c:extLst>
              <c:ext xmlns:c16="http://schemas.microsoft.com/office/drawing/2014/chart" uri="{C3380CC4-5D6E-409C-BE32-E72D297353CC}">
                <c16:uniqueId val="{00000001-CDCE-4D82-BFF1-0E8E5376DFF6}"/>
              </c:ext>
            </c:extLst>
          </c:dPt>
          <c:dPt>
            <c:idx val="5"/>
            <c:invertIfNegative val="0"/>
            <c:bubble3D val="0"/>
            <c:extLst>
              <c:ext xmlns:c16="http://schemas.microsoft.com/office/drawing/2014/chart" uri="{C3380CC4-5D6E-409C-BE32-E72D297353CC}">
                <c16:uniqueId val="{00000002-CDCE-4D82-BFF1-0E8E5376DFF6}"/>
              </c:ext>
            </c:extLst>
          </c:dPt>
          <c:dPt>
            <c:idx val="7"/>
            <c:invertIfNegative val="0"/>
            <c:bubble3D val="0"/>
            <c:extLst>
              <c:ext xmlns:c16="http://schemas.microsoft.com/office/drawing/2014/chart" uri="{C3380CC4-5D6E-409C-BE32-E72D297353CC}">
                <c16:uniqueId val="{00000003-CDCE-4D82-BFF1-0E8E5376DFF6}"/>
              </c:ext>
            </c:extLst>
          </c:dPt>
          <c:cat>
            <c:strRef>
              <c:f>'2023-sort lgh'!$A$4:$A$11</c:f>
              <c:strCache>
                <c:ptCount val="8"/>
                <c:pt idx="0">
                  <c:v>Malmö</c:v>
                </c:pt>
                <c:pt idx="1">
                  <c:v>Uppsala</c:v>
                </c:pt>
                <c:pt idx="2">
                  <c:v>Helsingborg</c:v>
                </c:pt>
                <c:pt idx="3">
                  <c:v>Örebro </c:v>
                </c:pt>
                <c:pt idx="4">
                  <c:v>Göteborg (vikttaxa)</c:v>
                </c:pt>
                <c:pt idx="5">
                  <c:v>Västerås</c:v>
                </c:pt>
                <c:pt idx="6">
                  <c:v>Linköping (vikttaxa+optisk)</c:v>
                </c:pt>
                <c:pt idx="7">
                  <c:v>Stockholm (vikttaxa)</c:v>
                </c:pt>
              </c:strCache>
            </c:strRef>
          </c:cat>
          <c:val>
            <c:numRef>
              <c:f>'2023-sort lgh'!$C$4:$C$11</c:f>
              <c:numCache>
                <c:formatCode>#\ ##0\ "kr"</c:formatCode>
                <c:ptCount val="8"/>
                <c:pt idx="0">
                  <c:v>1009.3333333333334</c:v>
                </c:pt>
                <c:pt idx="1">
                  <c:v>1369.6666666666665</c:v>
                </c:pt>
                <c:pt idx="2">
                  <c:v>1382.4</c:v>
                </c:pt>
                <c:pt idx="3">
                  <c:v>1400</c:v>
                </c:pt>
                <c:pt idx="4">
                  <c:v>1578</c:v>
                </c:pt>
                <c:pt idx="5">
                  <c:v>1940.6</c:v>
                </c:pt>
                <c:pt idx="6">
                  <c:v>2032.7819999999999</c:v>
                </c:pt>
                <c:pt idx="7">
                  <c:v>2034</c:v>
                </c:pt>
              </c:numCache>
            </c:numRef>
          </c:val>
          <c:extLst>
            <c:ext xmlns:c16="http://schemas.microsoft.com/office/drawing/2014/chart" uri="{C3380CC4-5D6E-409C-BE32-E72D297353CC}">
              <c16:uniqueId val="{00000004-CDCE-4D82-BFF1-0E8E5376DFF6}"/>
            </c:ext>
          </c:extLst>
        </c:ser>
        <c:dLbls>
          <c:showLegendKey val="0"/>
          <c:showVal val="0"/>
          <c:showCatName val="0"/>
          <c:showSerName val="0"/>
          <c:showPercent val="0"/>
          <c:showBubbleSize val="0"/>
        </c:dLbls>
        <c:gapWidth val="150"/>
        <c:axId val="113654784"/>
        <c:axId val="114950912"/>
      </c:barChart>
      <c:catAx>
        <c:axId val="113654784"/>
        <c:scaling>
          <c:orientation val="minMax"/>
        </c:scaling>
        <c:delete val="0"/>
        <c:axPos val="b"/>
        <c:numFmt formatCode="General" sourceLinked="0"/>
        <c:majorTickMark val="out"/>
        <c:minorTickMark val="none"/>
        <c:tickLblPos val="nextTo"/>
        <c:crossAx val="114950912"/>
        <c:crosses val="autoZero"/>
        <c:auto val="1"/>
        <c:lblAlgn val="ctr"/>
        <c:lblOffset val="100"/>
        <c:noMultiLvlLbl val="0"/>
      </c:catAx>
      <c:valAx>
        <c:axId val="114950912"/>
        <c:scaling>
          <c:orientation val="minMax"/>
        </c:scaling>
        <c:delete val="0"/>
        <c:axPos val="l"/>
        <c:majorGridlines/>
        <c:numFmt formatCode="#\ ##0\ &quot;kr&quot;" sourceLinked="1"/>
        <c:majorTickMark val="out"/>
        <c:minorTickMark val="none"/>
        <c:tickLblPos val="nextTo"/>
        <c:crossAx val="11365478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FE74-273D-4D8B-84F7-D9EC5B29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3834</Words>
  <Characters>20324</Characters>
  <Application>Microsoft Office Word</Application>
  <DocSecurity>0</DocSecurity>
  <Lines>169</Lines>
  <Paragraphs>48</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Kretslopp och vatten, tjänsteutlåtande</dc:title>
  <dc:subject/>
  <dc:creator>Cazuma Mori</dc:creator>
  <dc:description/>
  <cp:lastModifiedBy>Ann-Louise Eliasson</cp:lastModifiedBy>
  <cp:revision>2</cp:revision>
  <cp:lastPrinted>2017-01-05T15:29:00Z</cp:lastPrinted>
  <dcterms:created xsi:type="dcterms:W3CDTF">2023-08-09T16:00:00Z</dcterms:created>
  <dcterms:modified xsi:type="dcterms:W3CDTF">2023-08-09T16:00:00Z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9FAAD89E544ABA82C12589CE0029D388</vt:lpwstr>
  </property>
  <property fmtid="{D5CDD505-2E9C-101B-9397-08002B2CF9AE}" pid="6" name="SW_DocHWND">
    <vt:r8>1378614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prod\Kretsloppochvatten\LIS\Arbetsgrupp\HandlaggKV.nsf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